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江汉大学课程免听免修管理暂行办法</w:t>
      </w: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江校教</w:t>
      </w:r>
      <w:r>
        <w:rPr>
          <w:rFonts w:ascii="Times New Roman" w:hAnsi="Times New Roman" w:eastAsia="微软雅黑" w:cs="Times New Roman"/>
          <w:sz w:val="32"/>
          <w:szCs w:val="32"/>
        </w:rPr>
        <w:t>〔2012〕31</w:t>
      </w:r>
      <w:r>
        <w:rPr>
          <w:rFonts w:ascii="Times New Roman" w:hAnsi="Times New Roman" w:eastAsia="仿宋_GB2312" w:cs="Times New Roman"/>
          <w:sz w:val="32"/>
          <w:szCs w:val="32"/>
        </w:rPr>
        <w:t>号</w:t>
      </w:r>
    </w:p>
    <w:p>
      <w:pPr>
        <w:jc w:val="center"/>
        <w:rPr>
          <w:rFonts w:ascii="Times New Roman" w:hAnsi="Times New Roman" w:eastAsia="仿宋_GB2312" w:cs="Times New Roman"/>
          <w:sz w:val="32"/>
          <w:szCs w:val="32"/>
        </w:rPr>
      </w:pPr>
    </w:p>
    <w:p>
      <w:pPr>
        <w:widowControl/>
        <w:spacing w:line="500" w:lineRule="exact"/>
        <w:ind w:firstLine="640" w:firstLineChars="200"/>
        <w:rPr>
          <w:rFonts w:eastAsia="仿宋_GB2312"/>
          <w:sz w:val="32"/>
          <w:szCs w:val="32"/>
        </w:rPr>
      </w:pPr>
      <w:r>
        <w:rPr>
          <w:rFonts w:hint="eastAsia" w:eastAsia="仿宋_GB2312"/>
          <w:sz w:val="32"/>
          <w:szCs w:val="32"/>
        </w:rPr>
        <w:t>根据《江汉大学学分制管理实施办法》文件要求，为规范我校全日制本科生课程免听免修管理，特制定本办法。</w:t>
      </w:r>
    </w:p>
    <w:p>
      <w:pPr>
        <w:widowControl/>
        <w:spacing w:before="312" w:beforeLines="100" w:after="312" w:afterLines="100" w:line="500" w:lineRule="exact"/>
        <w:jc w:val="center"/>
        <w:rPr>
          <w:rFonts w:ascii="黑体" w:eastAsia="黑体"/>
          <w:sz w:val="32"/>
          <w:szCs w:val="32"/>
        </w:rPr>
      </w:pPr>
      <w:r>
        <w:rPr>
          <w:rFonts w:hint="eastAsia" w:ascii="黑体" w:eastAsia="黑体"/>
          <w:sz w:val="32"/>
          <w:szCs w:val="32"/>
        </w:rPr>
        <w:t>第一章</w:t>
      </w:r>
      <w:r>
        <w:rPr>
          <w:rFonts w:hint="eastAsia" w:eastAsia="黑体"/>
          <w:sz w:val="32"/>
          <w:szCs w:val="32"/>
        </w:rPr>
        <w:t>　</w:t>
      </w:r>
      <w:r>
        <w:rPr>
          <w:rFonts w:hint="eastAsia" w:ascii="黑体" w:eastAsia="黑体"/>
          <w:sz w:val="32"/>
          <w:szCs w:val="32"/>
        </w:rPr>
        <w:t>课程免听</w:t>
      </w:r>
    </w:p>
    <w:p>
      <w:pPr>
        <w:widowControl/>
        <w:spacing w:line="500" w:lineRule="exact"/>
        <w:ind w:firstLine="643" w:firstLineChars="200"/>
        <w:rPr>
          <w:rFonts w:eastAsia="仿宋_GB2312"/>
          <w:sz w:val="32"/>
          <w:szCs w:val="32"/>
        </w:rPr>
      </w:pPr>
      <w:r>
        <w:rPr>
          <w:rFonts w:hint="eastAsia" w:eastAsia="仿宋_GB2312"/>
          <w:b/>
          <w:sz w:val="32"/>
          <w:szCs w:val="32"/>
        </w:rPr>
        <w:t>第一条</w:t>
      </w:r>
      <w:r>
        <w:rPr>
          <w:rFonts w:hint="eastAsia" w:eastAsia="仿宋_GB2312"/>
          <w:sz w:val="32"/>
          <w:szCs w:val="32"/>
        </w:rPr>
        <w:t>　因转专业、复学、修读双学位等原因出现课程冲突且具备较强自学能力的学生，可根据选课情况申请免听。</w:t>
      </w:r>
    </w:p>
    <w:p>
      <w:pPr>
        <w:widowControl/>
        <w:spacing w:line="500" w:lineRule="exact"/>
        <w:ind w:firstLine="643" w:firstLineChars="200"/>
        <w:rPr>
          <w:rFonts w:eastAsia="仿宋_GB2312"/>
          <w:sz w:val="32"/>
          <w:szCs w:val="32"/>
        </w:rPr>
      </w:pPr>
      <w:r>
        <w:rPr>
          <w:rFonts w:hint="eastAsia" w:eastAsia="仿宋_GB2312"/>
          <w:b/>
          <w:sz w:val="32"/>
          <w:szCs w:val="32"/>
        </w:rPr>
        <w:t>第二条</w:t>
      </w:r>
      <w:r>
        <w:rPr>
          <w:rFonts w:hint="eastAsia" w:eastAsia="仿宋_GB2312"/>
          <w:sz w:val="32"/>
          <w:szCs w:val="32"/>
        </w:rPr>
        <w:t>　课程免听在第一周内办理，必须经学生本人申请，交学院审核，教务处审批。经批准免听的学生，仍为该课程在册学生，必须按时完成教师指定的作业和实验，方能参加该课程考核。若在免听期间未完成作业及实验等，教师可终止其课程免听，并报教务处备案。</w:t>
      </w:r>
    </w:p>
    <w:p>
      <w:pPr>
        <w:widowControl/>
        <w:spacing w:line="500" w:lineRule="exact"/>
        <w:ind w:firstLine="643" w:firstLineChars="200"/>
        <w:rPr>
          <w:rFonts w:eastAsia="仿宋_GB2312"/>
          <w:sz w:val="32"/>
          <w:szCs w:val="32"/>
        </w:rPr>
      </w:pPr>
      <w:r>
        <w:rPr>
          <w:rFonts w:hint="eastAsia" w:eastAsia="仿宋_GB2312"/>
          <w:b/>
          <w:sz w:val="32"/>
          <w:szCs w:val="32"/>
        </w:rPr>
        <w:t>第三条</w:t>
      </w:r>
      <w:r>
        <w:rPr>
          <w:rFonts w:hint="eastAsia" w:eastAsia="仿宋_GB2312"/>
          <w:sz w:val="32"/>
          <w:szCs w:val="32"/>
        </w:rPr>
        <w:t>　思想政治课、军事理论课、公共选修课、实践环节等不得申请免听。</w:t>
      </w:r>
    </w:p>
    <w:p>
      <w:pPr>
        <w:widowControl/>
        <w:spacing w:before="312" w:beforeLines="100" w:after="312" w:afterLines="100" w:line="500" w:lineRule="exact"/>
        <w:jc w:val="center"/>
        <w:rPr>
          <w:rFonts w:ascii="黑体" w:eastAsia="黑体"/>
          <w:sz w:val="32"/>
          <w:szCs w:val="32"/>
        </w:rPr>
      </w:pPr>
      <w:r>
        <w:rPr>
          <w:rFonts w:hint="eastAsia" w:ascii="黑体" w:eastAsia="黑体"/>
          <w:sz w:val="32"/>
          <w:szCs w:val="32"/>
        </w:rPr>
        <w:t>第二章　课程免修</w:t>
      </w:r>
    </w:p>
    <w:p>
      <w:pPr>
        <w:widowControl/>
        <w:spacing w:line="500" w:lineRule="exact"/>
        <w:ind w:firstLine="643" w:firstLineChars="200"/>
        <w:rPr>
          <w:rFonts w:eastAsia="仿宋_GB2312"/>
          <w:sz w:val="32"/>
          <w:szCs w:val="32"/>
        </w:rPr>
      </w:pPr>
      <w:r>
        <w:rPr>
          <w:rFonts w:hint="eastAsia" w:eastAsia="仿宋_GB2312"/>
          <w:b/>
          <w:sz w:val="32"/>
          <w:szCs w:val="32"/>
        </w:rPr>
        <w:t>第四条</w:t>
      </w:r>
      <w:r>
        <w:rPr>
          <w:rFonts w:hint="eastAsia" w:eastAsia="仿宋_GB2312"/>
          <w:sz w:val="32"/>
          <w:szCs w:val="32"/>
        </w:rPr>
        <w:t>　对学业优良、自学能力强的学生，通过自学或网络课程学习，认为已提前达到课程要求的，可申请免修。</w:t>
      </w:r>
    </w:p>
    <w:p>
      <w:pPr>
        <w:widowControl/>
        <w:spacing w:line="500" w:lineRule="exact"/>
        <w:ind w:firstLine="643" w:firstLineChars="200"/>
        <w:rPr>
          <w:rFonts w:eastAsia="仿宋_GB2312"/>
          <w:sz w:val="32"/>
          <w:szCs w:val="32"/>
        </w:rPr>
      </w:pPr>
      <w:r>
        <w:rPr>
          <w:rFonts w:hint="eastAsia" w:eastAsia="仿宋_GB2312"/>
          <w:b/>
          <w:sz w:val="32"/>
          <w:szCs w:val="32"/>
        </w:rPr>
        <w:t>第五条</w:t>
      </w:r>
      <w:r>
        <w:rPr>
          <w:rFonts w:hint="eastAsia" w:eastAsia="仿宋_GB2312"/>
          <w:sz w:val="32"/>
          <w:szCs w:val="32"/>
        </w:rPr>
        <w:t>　课程免修必须取得学院及开课单位同意，并参加学校统一组织的考试(含实验环节要求)且达到85分以上。成绩以参加免修考试的卷面成绩记载，获得该课程的学分。</w:t>
      </w:r>
    </w:p>
    <w:p>
      <w:pPr>
        <w:widowControl/>
        <w:spacing w:line="500" w:lineRule="exact"/>
        <w:ind w:firstLine="643" w:firstLineChars="200"/>
        <w:rPr>
          <w:rFonts w:eastAsia="仿宋_GB2312"/>
          <w:sz w:val="32"/>
          <w:szCs w:val="32"/>
        </w:rPr>
      </w:pPr>
      <w:r>
        <w:rPr>
          <w:rFonts w:hint="eastAsia" w:eastAsia="仿宋_GB2312"/>
          <w:b/>
          <w:sz w:val="32"/>
          <w:szCs w:val="32"/>
        </w:rPr>
        <w:t>第六条</w:t>
      </w:r>
      <w:r>
        <w:rPr>
          <w:rFonts w:hint="eastAsia" w:eastAsia="仿宋_GB2312"/>
          <w:sz w:val="32"/>
          <w:szCs w:val="32"/>
        </w:rPr>
        <w:t>　对在指定高校或其他教育部门取得与专业培养方案相关联的课程学分(含获得相应课程职业或等级证书)，经本人申请、学院及开课单位审核、教务处批准后，可代替相应课程的学分，可免修。其中：</w:t>
      </w:r>
    </w:p>
    <w:p>
      <w:pPr>
        <w:widowControl/>
        <w:spacing w:line="500" w:lineRule="exact"/>
        <w:ind w:firstLine="640" w:firstLineChars="200"/>
        <w:rPr>
          <w:rFonts w:eastAsia="仿宋_GB2312"/>
          <w:strike/>
          <w:dstrike w:val="0"/>
          <w:color w:val="FF0000"/>
          <w:sz w:val="32"/>
          <w:szCs w:val="32"/>
        </w:rPr>
      </w:pPr>
      <w:r>
        <w:rPr>
          <w:rFonts w:hint="eastAsia" w:eastAsia="仿宋_GB2312"/>
          <w:strike/>
          <w:dstrike w:val="0"/>
          <w:color w:val="FF0000"/>
          <w:sz w:val="32"/>
          <w:szCs w:val="32"/>
        </w:rPr>
        <w:t>（一）参加学校组织的全国大学英语四级考试达到500分以上(含500分)的可申请免修大学英语部分课程。分数达到</w:t>
      </w:r>
      <w:r>
        <w:rPr>
          <w:rFonts w:eastAsia="仿宋_GB2312"/>
          <w:strike/>
          <w:dstrike w:val="0"/>
          <w:color w:val="FF0000"/>
          <w:sz w:val="32"/>
          <w:szCs w:val="32"/>
        </w:rPr>
        <w:t>568</w:t>
      </w:r>
      <w:r>
        <w:rPr>
          <w:rFonts w:hint="eastAsia" w:eastAsia="仿宋_GB2312"/>
          <w:strike/>
          <w:dstrike w:val="0"/>
          <w:color w:val="FF0000"/>
          <w:sz w:val="32"/>
          <w:szCs w:val="32"/>
        </w:rPr>
        <w:t>分以上(含</w:t>
      </w:r>
      <w:r>
        <w:rPr>
          <w:rFonts w:eastAsia="仿宋_GB2312"/>
          <w:strike/>
          <w:dstrike w:val="0"/>
          <w:color w:val="FF0000"/>
          <w:sz w:val="32"/>
          <w:szCs w:val="32"/>
        </w:rPr>
        <w:t>568</w:t>
      </w:r>
      <w:r>
        <w:rPr>
          <w:rFonts w:hint="eastAsia" w:eastAsia="仿宋_GB2312"/>
          <w:strike/>
          <w:dstrike w:val="0"/>
          <w:color w:val="FF0000"/>
          <w:sz w:val="32"/>
          <w:szCs w:val="32"/>
        </w:rPr>
        <w:t>分)的，课程成绩以</w:t>
      </w:r>
      <w:r>
        <w:rPr>
          <w:rFonts w:eastAsia="仿宋_GB2312"/>
          <w:strike/>
          <w:dstrike w:val="0"/>
          <w:color w:val="FF0000"/>
          <w:sz w:val="32"/>
          <w:szCs w:val="32"/>
        </w:rPr>
        <w:t>85</w:t>
      </w:r>
      <w:r>
        <w:rPr>
          <w:rFonts w:hint="eastAsia" w:eastAsia="仿宋_GB2312"/>
          <w:strike/>
          <w:dstrike w:val="0"/>
          <w:color w:val="FF0000"/>
          <w:sz w:val="32"/>
          <w:szCs w:val="32"/>
        </w:rPr>
        <w:t>分计；分数达到</w:t>
      </w:r>
      <w:r>
        <w:rPr>
          <w:rFonts w:eastAsia="仿宋_GB2312"/>
          <w:strike/>
          <w:dstrike w:val="0"/>
          <w:color w:val="FF0000"/>
          <w:sz w:val="32"/>
          <w:szCs w:val="32"/>
        </w:rPr>
        <w:t>500</w:t>
      </w:r>
      <w:r>
        <w:rPr>
          <w:rFonts w:hint="eastAsia" w:eastAsia="仿宋_GB2312"/>
          <w:strike/>
          <w:dstrike w:val="0"/>
          <w:color w:val="FF0000"/>
          <w:sz w:val="32"/>
          <w:szCs w:val="32"/>
        </w:rPr>
        <w:t>分以上(含</w:t>
      </w:r>
      <w:r>
        <w:rPr>
          <w:rFonts w:eastAsia="仿宋_GB2312"/>
          <w:strike/>
          <w:dstrike w:val="0"/>
          <w:color w:val="FF0000"/>
          <w:sz w:val="32"/>
          <w:szCs w:val="32"/>
        </w:rPr>
        <w:t>500</w:t>
      </w:r>
      <w:r>
        <w:rPr>
          <w:rFonts w:hint="eastAsia" w:eastAsia="仿宋_GB2312"/>
          <w:strike/>
          <w:dstrike w:val="0"/>
          <w:color w:val="FF0000"/>
          <w:sz w:val="32"/>
          <w:szCs w:val="32"/>
        </w:rPr>
        <w:t>分)的，课程成绩以70分计。其他语种参照执行。</w:t>
      </w:r>
    </w:p>
    <w:p>
      <w:pPr>
        <w:widowControl/>
        <w:spacing w:line="500" w:lineRule="exact"/>
        <w:ind w:firstLine="640" w:firstLineChars="200"/>
        <w:rPr>
          <w:rFonts w:eastAsia="仿宋_GB2312"/>
          <w:sz w:val="32"/>
          <w:szCs w:val="32"/>
        </w:rPr>
      </w:pPr>
      <w:r>
        <w:rPr>
          <w:rFonts w:hint="eastAsia" w:eastAsia="仿宋_GB2312"/>
          <w:sz w:val="32"/>
          <w:szCs w:val="32"/>
        </w:rPr>
        <w:t>（二）参加学校组织的全国计算机等级考试达到优秀的学生可免修相应计算机类课程，成绩以</w:t>
      </w:r>
      <w:r>
        <w:rPr>
          <w:rFonts w:eastAsia="仿宋_GB2312"/>
          <w:sz w:val="32"/>
          <w:szCs w:val="32"/>
        </w:rPr>
        <w:t>85</w:t>
      </w:r>
      <w:r>
        <w:rPr>
          <w:rFonts w:hint="eastAsia" w:eastAsia="仿宋_GB2312"/>
          <w:sz w:val="32"/>
          <w:szCs w:val="32"/>
        </w:rPr>
        <w:t>分计；达到合格者</w:t>
      </w:r>
      <w:bookmarkStart w:id="0" w:name="_GoBack"/>
      <w:bookmarkEnd w:id="0"/>
      <w:r>
        <w:rPr>
          <w:rFonts w:hint="eastAsia" w:eastAsia="仿宋_GB2312"/>
          <w:sz w:val="32"/>
          <w:szCs w:val="32"/>
        </w:rPr>
        <w:t>，成绩以</w:t>
      </w:r>
      <w:r>
        <w:rPr>
          <w:rFonts w:eastAsia="仿宋_GB2312"/>
          <w:sz w:val="32"/>
          <w:szCs w:val="32"/>
        </w:rPr>
        <w:t>65</w:t>
      </w:r>
      <w:r>
        <w:rPr>
          <w:rFonts w:hint="eastAsia" w:eastAsia="仿宋_GB2312"/>
          <w:sz w:val="32"/>
          <w:szCs w:val="32"/>
        </w:rPr>
        <w:t>分计。</w:t>
      </w:r>
    </w:p>
    <w:p>
      <w:pPr>
        <w:widowControl/>
        <w:spacing w:line="500" w:lineRule="exact"/>
        <w:ind w:firstLine="643" w:firstLineChars="200"/>
        <w:rPr>
          <w:rFonts w:eastAsia="仿宋_GB2312"/>
          <w:sz w:val="32"/>
          <w:szCs w:val="32"/>
        </w:rPr>
      </w:pPr>
      <w:r>
        <w:rPr>
          <w:rFonts w:hint="eastAsia" w:eastAsia="仿宋_GB2312"/>
          <w:b/>
          <w:sz w:val="32"/>
          <w:szCs w:val="32"/>
        </w:rPr>
        <w:t>第七条</w:t>
      </w:r>
      <w:r>
        <w:rPr>
          <w:rFonts w:hint="eastAsia" w:eastAsia="仿宋_GB2312"/>
          <w:sz w:val="32"/>
          <w:szCs w:val="32"/>
        </w:rPr>
        <w:t>　课程免修考试由教务处统一组织。学生在期末前完成免修申请，下学期开学初参加考试。</w:t>
      </w:r>
    </w:p>
    <w:p>
      <w:pPr>
        <w:widowControl/>
        <w:tabs>
          <w:tab w:val="left" w:pos="1260"/>
        </w:tabs>
        <w:spacing w:line="500" w:lineRule="exact"/>
        <w:ind w:firstLine="643" w:firstLineChars="200"/>
        <w:rPr>
          <w:rFonts w:eastAsia="仿宋_GB2312"/>
          <w:sz w:val="32"/>
          <w:szCs w:val="32"/>
        </w:rPr>
      </w:pPr>
      <w:r>
        <w:rPr>
          <w:rFonts w:hint="eastAsia" w:eastAsia="仿宋_GB2312"/>
          <w:b/>
          <w:sz w:val="32"/>
          <w:szCs w:val="32"/>
        </w:rPr>
        <w:t>第八条</w:t>
      </w:r>
      <w:r>
        <w:rPr>
          <w:rFonts w:hint="eastAsia" w:eastAsia="仿宋_GB2312"/>
          <w:sz w:val="32"/>
          <w:szCs w:val="32"/>
        </w:rPr>
        <w:t>　思想政治理论课、军事理论课、公共选修课、实践环节不能申请免修。</w:t>
      </w:r>
    </w:p>
    <w:p>
      <w:pPr>
        <w:widowControl/>
        <w:spacing w:before="312" w:beforeLines="100" w:after="312" w:afterLines="100" w:line="320" w:lineRule="atLeast"/>
        <w:jc w:val="center"/>
        <w:rPr>
          <w:rFonts w:ascii="黑体" w:eastAsia="黑体"/>
          <w:sz w:val="32"/>
          <w:szCs w:val="32"/>
        </w:rPr>
      </w:pPr>
      <w:r>
        <w:rPr>
          <w:rFonts w:hint="eastAsia" w:ascii="黑体" w:eastAsia="黑体"/>
          <w:sz w:val="32"/>
          <w:szCs w:val="32"/>
        </w:rPr>
        <w:t>第三章　附　则</w:t>
      </w:r>
    </w:p>
    <w:p>
      <w:pPr>
        <w:widowControl/>
        <w:spacing w:line="560" w:lineRule="exact"/>
        <w:ind w:firstLine="643" w:firstLineChars="200"/>
        <w:rPr>
          <w:rFonts w:eastAsia="仿宋_GB2312"/>
          <w:sz w:val="32"/>
          <w:szCs w:val="32"/>
        </w:rPr>
      </w:pPr>
      <w:r>
        <w:rPr>
          <w:rFonts w:hint="eastAsia" w:eastAsia="仿宋_GB2312"/>
          <w:b/>
          <w:sz w:val="32"/>
          <w:szCs w:val="32"/>
        </w:rPr>
        <w:t>第九条</w:t>
      </w:r>
      <w:r>
        <w:rPr>
          <w:rFonts w:hint="eastAsia" w:eastAsia="仿宋_GB2312"/>
          <w:sz w:val="32"/>
          <w:szCs w:val="32"/>
        </w:rPr>
        <w:t>　本办法从发布之日起实施。</w:t>
      </w:r>
    </w:p>
    <w:p>
      <w:pPr>
        <w:widowControl/>
        <w:spacing w:line="560" w:lineRule="exact"/>
        <w:ind w:firstLine="643" w:firstLineChars="200"/>
        <w:rPr>
          <w:rFonts w:eastAsia="仿宋_GB2312"/>
          <w:sz w:val="32"/>
          <w:szCs w:val="32"/>
        </w:rPr>
      </w:pPr>
      <w:r>
        <w:rPr>
          <w:rFonts w:hint="eastAsia" w:eastAsia="仿宋_GB2312"/>
          <w:b/>
          <w:sz w:val="32"/>
          <w:szCs w:val="32"/>
        </w:rPr>
        <w:t>第十条</w:t>
      </w:r>
      <w:r>
        <w:rPr>
          <w:rFonts w:hint="eastAsia" w:eastAsia="仿宋_GB2312"/>
          <w:sz w:val="32"/>
          <w:szCs w:val="32"/>
        </w:rPr>
        <w:t>　本办法由教务处负责解释。</w:t>
      </w:r>
    </w:p>
    <w:p/>
    <w:p/>
    <w:p>
      <w:pPr>
        <w:numPr>
          <w:ilvl w:val="0"/>
          <w:numId w:val="0"/>
        </w:numPr>
        <w:rPr>
          <w:rFonts w:ascii="Times New Roman" w:hAnsi="Times New Roman" w:cs="Times New Roman"/>
        </w:rPr>
      </w:pPr>
    </w:p>
    <w:sectPr>
      <w:headerReference r:id="rId3" w:type="first"/>
      <w:footerReference r:id="rId5" w:type="first"/>
      <w:footerReference r:id="rId4" w:type="default"/>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瀹嬩綋">
    <w:altName w:val="Segoe Print"/>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jEyNTc5NTg3YmEwMGZmMzY4MTNjMjEwNjM1M2IifQ=="/>
  </w:docVars>
  <w:rsids>
    <w:rsidRoot w:val="002E0B65"/>
    <w:rsid w:val="002733E9"/>
    <w:rsid w:val="002E0B65"/>
    <w:rsid w:val="00725C98"/>
    <w:rsid w:val="007F5B8D"/>
    <w:rsid w:val="0091136E"/>
    <w:rsid w:val="009B615F"/>
    <w:rsid w:val="00B048CE"/>
    <w:rsid w:val="02A53A1C"/>
    <w:rsid w:val="04D96D05"/>
    <w:rsid w:val="06790559"/>
    <w:rsid w:val="06B931CA"/>
    <w:rsid w:val="14F72CE4"/>
    <w:rsid w:val="16B45A4D"/>
    <w:rsid w:val="2A4C2EE3"/>
    <w:rsid w:val="2AF447CE"/>
    <w:rsid w:val="2BC71EE9"/>
    <w:rsid w:val="309D70E7"/>
    <w:rsid w:val="30AF7208"/>
    <w:rsid w:val="316963B7"/>
    <w:rsid w:val="323B7D89"/>
    <w:rsid w:val="32592682"/>
    <w:rsid w:val="332870D3"/>
    <w:rsid w:val="3AA35E97"/>
    <w:rsid w:val="3B26136E"/>
    <w:rsid w:val="3DF83956"/>
    <w:rsid w:val="438474F9"/>
    <w:rsid w:val="47460089"/>
    <w:rsid w:val="59D72D38"/>
    <w:rsid w:val="5A647516"/>
    <w:rsid w:val="5CEA124A"/>
    <w:rsid w:val="5FFF064F"/>
    <w:rsid w:val="6D18637A"/>
    <w:rsid w:val="735A6EB7"/>
    <w:rsid w:val="766B458A"/>
    <w:rsid w:val="77C127DC"/>
    <w:rsid w:val="7C1B1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4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line="15" w:lineRule="atLeast"/>
      <w:jc w:val="left"/>
    </w:pPr>
    <w:rPr>
      <w:rFonts w:ascii="瀹嬩綋" w:hAnsi="瀹嬩綋" w:eastAsia="瀹嬩綋" w:cs="Times New Roman"/>
      <w:color w:val="333333"/>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style>
  <w:style w:type="character" w:styleId="11">
    <w:name w:val="FollowedHyperlink"/>
    <w:basedOn w:val="9"/>
    <w:qFormat/>
    <w:uiPriority w:val="0"/>
    <w:rPr>
      <w:color w:val="333333"/>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3333"/>
      <w:u w:val="none"/>
    </w:rPr>
  </w:style>
  <w:style w:type="character" w:styleId="16">
    <w:name w:val="HTML Code"/>
    <w:basedOn w:val="9"/>
    <w:qFormat/>
    <w:uiPriority w:val="0"/>
    <w:rPr>
      <w:rFonts w:ascii="Courier New" w:hAnsi="Courier New"/>
      <w:sz w:val="20"/>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customStyle="1" w:styleId="19">
    <w:name w:val="article_dynavisitcount"/>
    <w:basedOn w:val="9"/>
    <w:qFormat/>
    <w:uiPriority w:val="0"/>
  </w:style>
  <w:style w:type="character" w:customStyle="1" w:styleId="20">
    <w:name w:val="column-name"/>
    <w:basedOn w:val="9"/>
    <w:qFormat/>
    <w:uiPriority w:val="0"/>
    <w:rPr>
      <w:color w:val="856103"/>
    </w:rPr>
  </w:style>
  <w:style w:type="character" w:customStyle="1" w:styleId="21">
    <w:name w:val="column-name1"/>
    <w:basedOn w:val="9"/>
    <w:qFormat/>
    <w:uiPriority w:val="0"/>
    <w:rPr>
      <w:color w:val="124D83"/>
    </w:rPr>
  </w:style>
  <w:style w:type="character" w:customStyle="1" w:styleId="22">
    <w:name w:val="column-name2"/>
    <w:basedOn w:val="9"/>
    <w:qFormat/>
    <w:uiPriority w:val="0"/>
    <w:rPr>
      <w:color w:val="124D83"/>
    </w:rPr>
  </w:style>
  <w:style w:type="character" w:customStyle="1" w:styleId="23">
    <w:name w:val="column-name3"/>
    <w:basedOn w:val="9"/>
    <w:qFormat/>
    <w:uiPriority w:val="0"/>
    <w:rPr>
      <w:color w:val="124D83"/>
    </w:rPr>
  </w:style>
  <w:style w:type="character" w:customStyle="1" w:styleId="24">
    <w:name w:val="column-name4"/>
    <w:basedOn w:val="9"/>
    <w:qFormat/>
    <w:uiPriority w:val="0"/>
    <w:rPr>
      <w:color w:val="124D83"/>
    </w:rPr>
  </w:style>
  <w:style w:type="character" w:customStyle="1" w:styleId="25">
    <w:name w:val="column-name5"/>
    <w:basedOn w:val="9"/>
    <w:qFormat/>
    <w:uiPriority w:val="0"/>
    <w:rPr>
      <w:color w:val="124D83"/>
    </w:rPr>
  </w:style>
  <w:style w:type="character" w:customStyle="1" w:styleId="26">
    <w:name w:val="news_title"/>
    <w:basedOn w:val="9"/>
    <w:qFormat/>
    <w:uiPriority w:val="0"/>
  </w:style>
  <w:style w:type="character" w:customStyle="1" w:styleId="27">
    <w:name w:val="item-name"/>
    <w:basedOn w:val="9"/>
    <w:qFormat/>
    <w:uiPriority w:val="0"/>
  </w:style>
  <w:style w:type="character" w:customStyle="1" w:styleId="28">
    <w:name w:val="item-name1"/>
    <w:basedOn w:val="9"/>
    <w:qFormat/>
    <w:uiPriority w:val="0"/>
  </w:style>
  <w:style w:type="character" w:customStyle="1" w:styleId="29">
    <w:name w:val="item-name2"/>
    <w:basedOn w:val="9"/>
    <w:qFormat/>
    <w:uiPriority w:val="0"/>
  </w:style>
  <w:style w:type="character" w:customStyle="1" w:styleId="30">
    <w:name w:val="item-name3"/>
    <w:basedOn w:val="9"/>
    <w:qFormat/>
    <w:uiPriority w:val="0"/>
  </w:style>
  <w:style w:type="character" w:customStyle="1" w:styleId="31">
    <w:name w:val="item-name4"/>
    <w:basedOn w:val="9"/>
    <w:qFormat/>
    <w:uiPriority w:val="0"/>
  </w:style>
  <w:style w:type="character" w:customStyle="1" w:styleId="32">
    <w:name w:val="item-name5"/>
    <w:basedOn w:val="9"/>
    <w:qFormat/>
    <w:uiPriority w:val="0"/>
  </w:style>
  <w:style w:type="character" w:customStyle="1" w:styleId="33">
    <w:name w:val="item-name6"/>
    <w:basedOn w:val="9"/>
    <w:qFormat/>
    <w:uiPriority w:val="0"/>
  </w:style>
  <w:style w:type="character" w:customStyle="1" w:styleId="34">
    <w:name w:val="xubox_tabnow"/>
    <w:basedOn w:val="9"/>
    <w:qFormat/>
    <w:uiPriority w:val="0"/>
    <w:rPr>
      <w:bdr w:val="single" w:color="CCCCCC" w:sz="6" w:space="0"/>
      <w:shd w:val="clear" w:color="auto" w:fill="FFFFFF"/>
    </w:rPr>
  </w:style>
  <w:style w:type="character" w:customStyle="1" w:styleId="35">
    <w:name w:val="news_meta"/>
    <w:basedOn w:val="9"/>
    <w:qFormat/>
    <w:uiPriority w:val="0"/>
  </w:style>
  <w:style w:type="character" w:customStyle="1" w:styleId="36">
    <w:name w:val="column-name12"/>
    <w:basedOn w:val="9"/>
    <w:qFormat/>
    <w:uiPriority w:val="0"/>
    <w:rPr>
      <w:color w:val="856103"/>
    </w:rPr>
  </w:style>
  <w:style w:type="character" w:customStyle="1" w:styleId="37">
    <w:name w:val="column-name13"/>
    <w:basedOn w:val="9"/>
    <w:qFormat/>
    <w:uiPriority w:val="0"/>
    <w:rPr>
      <w:color w:val="124D83"/>
    </w:rPr>
  </w:style>
  <w:style w:type="character" w:customStyle="1" w:styleId="38">
    <w:name w:val="column-name14"/>
    <w:basedOn w:val="9"/>
    <w:qFormat/>
    <w:uiPriority w:val="0"/>
    <w:rPr>
      <w:color w:val="124D83"/>
    </w:rPr>
  </w:style>
  <w:style w:type="character" w:customStyle="1" w:styleId="39">
    <w:name w:val="column-name15"/>
    <w:basedOn w:val="9"/>
    <w:qFormat/>
    <w:uiPriority w:val="0"/>
    <w:rPr>
      <w:color w:val="124D83"/>
    </w:rPr>
  </w:style>
  <w:style w:type="character" w:customStyle="1" w:styleId="40">
    <w:name w:val="column-name16"/>
    <w:basedOn w:val="9"/>
    <w:qFormat/>
    <w:uiPriority w:val="0"/>
    <w:rPr>
      <w:color w:val="124D83"/>
    </w:rPr>
  </w:style>
  <w:style w:type="character" w:customStyle="1" w:styleId="41">
    <w:name w:val="column-name17"/>
    <w:basedOn w:val="9"/>
    <w:qFormat/>
    <w:uiPriority w:val="0"/>
    <w:rPr>
      <w:color w:val="124D83"/>
    </w:rPr>
  </w:style>
  <w:style w:type="character" w:customStyle="1" w:styleId="42">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784</Words>
  <Characters>805</Characters>
  <Lines>12</Lines>
  <Paragraphs>3</Paragraphs>
  <TotalTime>270</TotalTime>
  <ScaleCrop>false</ScaleCrop>
  <LinksUpToDate>false</LinksUpToDate>
  <CharactersWithSpaces>819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LSF</dc:creator>
  <cp:lastModifiedBy>汪友清</cp:lastModifiedBy>
  <dcterms:modified xsi:type="dcterms:W3CDTF">2023-02-21T02:40:25Z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DC5BCBC4003E4A2B8EEF8859C2CB1E54</vt:lpwstr>
  </property>
</Properties>
</file>