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08" w:rsidRPr="00206A3B" w:rsidRDefault="00206A3B" w:rsidP="00206A3B">
      <w:pPr>
        <w:jc w:val="center"/>
        <w:rPr>
          <w:rFonts w:asciiTheme="minorEastAsia" w:hAnsiTheme="minorEastAsia"/>
          <w:b/>
          <w:sz w:val="36"/>
          <w:szCs w:val="36"/>
        </w:rPr>
      </w:pPr>
      <w:r w:rsidRPr="00206A3B">
        <w:rPr>
          <w:rFonts w:asciiTheme="minorEastAsia" w:hAnsiTheme="minorEastAsia" w:hint="eastAsia"/>
          <w:b/>
          <w:sz w:val="36"/>
          <w:szCs w:val="36"/>
        </w:rPr>
        <w:t>江汉大学教师教学质量考评指标体系(</w:t>
      </w:r>
      <w:r w:rsidRPr="00511121">
        <w:rPr>
          <w:rFonts w:asciiTheme="minorEastAsia" w:hAnsiTheme="minorEastAsia" w:hint="eastAsia"/>
          <w:b/>
          <w:sz w:val="28"/>
          <w:szCs w:val="28"/>
        </w:rPr>
        <w:t>2016执行版</w:t>
      </w:r>
      <w:r w:rsidRPr="00206A3B">
        <w:rPr>
          <w:rFonts w:asciiTheme="minorEastAsia" w:hAnsiTheme="minorEastAsia" w:hint="eastAsia"/>
          <w:b/>
          <w:sz w:val="36"/>
          <w:szCs w:val="36"/>
        </w:rPr>
        <w:t>)</w:t>
      </w:r>
    </w:p>
    <w:p w:rsidR="000F6E08" w:rsidRDefault="000F6E08"/>
    <w:tbl>
      <w:tblPr>
        <w:tblW w:w="5000" w:type="pct"/>
        <w:tblCellSpacing w:w="0" w:type="dxa"/>
        <w:tblBorders>
          <w:top w:val="outset" w:sz="6" w:space="0" w:color="777777"/>
          <w:left w:val="outset" w:sz="6" w:space="0" w:color="777777"/>
          <w:bottom w:val="outset" w:sz="6" w:space="0" w:color="777777"/>
          <w:right w:val="outset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542"/>
        <w:gridCol w:w="1531"/>
        <w:gridCol w:w="6108"/>
        <w:gridCol w:w="3854"/>
      </w:tblGrid>
      <w:tr w:rsidR="00637B00" w:rsidRPr="00860612" w:rsidTr="00511121">
        <w:trPr>
          <w:trHeight w:val="729"/>
          <w:tblCellSpacing w:w="0" w:type="dxa"/>
        </w:trPr>
        <w:tc>
          <w:tcPr>
            <w:tcW w:w="529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C1D3EA"/>
            <w:vAlign w:val="center"/>
          </w:tcPr>
          <w:p w:rsidR="00511121" w:rsidRPr="00860612" w:rsidRDefault="00511121" w:rsidP="005111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 w:val="24"/>
                <w:szCs w:val="24"/>
              </w:rPr>
              <w:t>一级</w:t>
            </w:r>
            <w:r w:rsidR="00637B00"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 w:val="24"/>
                <w:szCs w:val="24"/>
              </w:rPr>
              <w:t>指标</w:t>
            </w:r>
          </w:p>
        </w:tc>
        <w:tc>
          <w:tcPr>
            <w:tcW w:w="529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C1D3EA"/>
            <w:vAlign w:val="center"/>
            <w:hideMark/>
          </w:tcPr>
          <w:p w:rsidR="00637B00" w:rsidRPr="00860612" w:rsidRDefault="00511121" w:rsidP="005111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 w:val="24"/>
                <w:szCs w:val="24"/>
              </w:rPr>
              <w:t>二级</w:t>
            </w:r>
            <w:r w:rsidR="00637B00"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 w:val="24"/>
                <w:szCs w:val="24"/>
              </w:rPr>
              <w:t>指标</w:t>
            </w: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C1D3EA"/>
            <w:vAlign w:val="center"/>
            <w:hideMark/>
          </w:tcPr>
          <w:p w:rsidR="00637B00" w:rsidRPr="00860612" w:rsidRDefault="00637B00" w:rsidP="005111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  <w:r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 w:val="24"/>
                <w:szCs w:val="24"/>
              </w:rPr>
              <w:t>主要测评点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C1D3EA"/>
            <w:vAlign w:val="center"/>
            <w:hideMark/>
          </w:tcPr>
          <w:p w:rsidR="00637B00" w:rsidRPr="00860612" w:rsidRDefault="00637B00" w:rsidP="005111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  <w:r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 w:val="24"/>
                <w:szCs w:val="24"/>
              </w:rPr>
              <w:t>单项分值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C1D3EA"/>
            <w:vAlign w:val="center"/>
            <w:hideMark/>
          </w:tcPr>
          <w:p w:rsidR="00637B00" w:rsidRPr="00860612" w:rsidRDefault="00637B00" w:rsidP="005111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  <w:r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 w:val="24"/>
                <w:szCs w:val="24"/>
              </w:rPr>
              <w:t>填报说明</w:t>
            </w:r>
          </w:p>
        </w:tc>
      </w:tr>
      <w:tr w:rsidR="00637B00" w:rsidRPr="00860612" w:rsidTr="006412C6">
        <w:trPr>
          <w:trHeight w:val="967"/>
          <w:tblCellSpacing w:w="0" w:type="dxa"/>
        </w:trPr>
        <w:tc>
          <w:tcPr>
            <w:tcW w:w="529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7305BF" w:rsidRPr="00250AF2" w:rsidRDefault="007305BF" w:rsidP="00831E6D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教学工作量</w:t>
            </w:r>
          </w:p>
          <w:p w:rsidR="00637B00" w:rsidRPr="00637B00" w:rsidRDefault="007305BF" w:rsidP="00831E6D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S1</w:t>
            </w:r>
            <w:r w:rsidR="0057152D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（45%）</w:t>
            </w:r>
          </w:p>
        </w:tc>
        <w:tc>
          <w:tcPr>
            <w:tcW w:w="529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637B00" w:rsidRDefault="00637B00" w:rsidP="00637B00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637B00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年度教学</w:t>
            </w:r>
          </w:p>
          <w:p w:rsidR="00637B00" w:rsidRPr="00897DF9" w:rsidRDefault="00637B00" w:rsidP="00637B00">
            <w:pPr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637B00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工作量</w:t>
            </w: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637B00" w:rsidRPr="00637B00" w:rsidRDefault="00637B00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637B00"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  <w:t>理论教学、</w:t>
            </w:r>
          </w:p>
          <w:p w:rsidR="00637B00" w:rsidRPr="00637B00" w:rsidRDefault="00637B00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ind w:leftChars="-118" w:left="42" w:hangingChars="138" w:hanging="290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637B00"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  <w:t>实践教学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637B00" w:rsidRPr="00637B00" w:rsidRDefault="00637B00" w:rsidP="00637B00">
            <w:pPr>
              <w:adjustRightInd w:val="0"/>
              <w:snapToGrid w:val="0"/>
              <w:spacing w:line="0" w:lineRule="atLeast"/>
              <w:jc w:val="left"/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</w:pP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工作量得分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=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完成应承担工作量的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100%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得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80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分。</w:t>
            </w:r>
          </w:p>
          <w:p w:rsidR="00637B00" w:rsidRPr="00E1703C" w:rsidRDefault="00637B00" w:rsidP="00637B00">
            <w:pPr>
              <w:adjustRightInd w:val="0"/>
              <w:snapToGrid w:val="0"/>
              <w:spacing w:line="0" w:lineRule="atLeast"/>
              <w:jc w:val="left"/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</w:pP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在此基础上，每增加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1%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，加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分，每减少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1%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，减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分。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637B00" w:rsidRPr="00897DF9" w:rsidRDefault="00637B00" w:rsidP="00637B00">
            <w:pPr>
              <w:adjustRightInd w:val="0"/>
              <w:snapToGrid w:val="0"/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100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分封顶</w:t>
            </w:r>
          </w:p>
        </w:tc>
      </w:tr>
      <w:tr w:rsidR="00637B00" w:rsidRPr="00860612" w:rsidTr="006412C6">
        <w:trPr>
          <w:trHeight w:val="600"/>
          <w:tblCellSpacing w:w="0" w:type="dxa"/>
        </w:trPr>
        <w:tc>
          <w:tcPr>
            <w:tcW w:w="529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7305BF" w:rsidRPr="00250AF2" w:rsidRDefault="007305BF" w:rsidP="00831E6D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教学效果</w:t>
            </w:r>
          </w:p>
          <w:p w:rsidR="00637B00" w:rsidRPr="00250AF2" w:rsidRDefault="007305BF" w:rsidP="00831E6D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S2</w:t>
            </w:r>
            <w:r w:rsidR="0057152D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（40%）</w:t>
            </w:r>
          </w:p>
        </w:tc>
        <w:tc>
          <w:tcPr>
            <w:tcW w:w="529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637B00" w:rsidRPr="00897DF9" w:rsidRDefault="00637B00" w:rsidP="00637B00">
            <w:pPr>
              <w:adjustRightInd w:val="0"/>
              <w:snapToGrid w:val="0"/>
              <w:spacing w:line="0" w:lineRule="atLeas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637B00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课堂教学质量</w:t>
            </w: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637B00" w:rsidRPr="00637B00" w:rsidRDefault="00637B00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637B00"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  <w:t>学生评教、</w:t>
            </w:r>
          </w:p>
          <w:p w:rsidR="00637B00" w:rsidRDefault="00637B00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637B00"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  <w:t>督导评教、</w:t>
            </w:r>
          </w:p>
          <w:p w:rsidR="00637B00" w:rsidRPr="00897DF9" w:rsidRDefault="00637B00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637B00"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  <w:t>学院评教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637B00" w:rsidRPr="00637B00" w:rsidRDefault="00637B00" w:rsidP="00637B00">
            <w:pPr>
              <w:adjustRightInd w:val="0"/>
              <w:snapToGrid w:val="0"/>
              <w:spacing w:line="0" w:lineRule="atLeast"/>
              <w:jc w:val="left"/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</w:pP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1.</w:t>
            </w: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教学质量得分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=</w:t>
            </w: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学生评教分×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0.45</w:t>
            </w: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＋校教学评估督导组评教分×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0.35</w:t>
            </w: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＋学院评教分×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0.2 </w:t>
            </w:r>
          </w:p>
          <w:p w:rsidR="00637B00" w:rsidRPr="00E1703C" w:rsidRDefault="00637B00" w:rsidP="00637B00">
            <w:pPr>
              <w:adjustRightInd w:val="0"/>
              <w:snapToGrid w:val="0"/>
              <w:spacing w:line="0" w:lineRule="atLeast"/>
              <w:jc w:val="left"/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</w:pP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2.</w:t>
            </w: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教学质量得分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=</w:t>
            </w: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学生评教分×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0.60</w:t>
            </w: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＋学院评教分×</w:t>
            </w: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0.40</w:t>
            </w:r>
            <w:r w:rsidRPr="00637B00"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  <w:t>。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shd w:val="clear" w:color="auto" w:fill="FFFFFF" w:themeFill="background1"/>
            <w:vAlign w:val="center"/>
          </w:tcPr>
          <w:p w:rsidR="00637B00" w:rsidRPr="00637B00" w:rsidRDefault="00637B00" w:rsidP="00637B00">
            <w:pPr>
              <w:adjustRightInd w:val="0"/>
              <w:snapToGrid w:val="0"/>
              <w:spacing w:line="0" w:lineRule="atLeast"/>
              <w:jc w:val="center"/>
              <w:rPr>
                <w:rFonts w:ascii="Simsun" w:eastAsia="宋体" w:hAnsi="Simsun" w:cs="宋体" w:hint="eastAsia"/>
                <w:color w:val="262525"/>
                <w:kern w:val="0"/>
                <w:sz w:val="18"/>
                <w:szCs w:val="18"/>
              </w:rPr>
            </w:pPr>
            <w:r w:rsidRPr="00637B00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百分制计分</w:t>
            </w:r>
          </w:p>
        </w:tc>
      </w:tr>
      <w:tr w:rsidR="00250AF2" w:rsidRPr="00860612" w:rsidTr="006412C6">
        <w:trPr>
          <w:trHeight w:val="540"/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777777"/>
              <w:left w:val="outset" w:sz="6" w:space="0" w:color="777777"/>
              <w:right w:val="outset" w:sz="6" w:space="0" w:color="777777"/>
            </w:tcBorders>
            <w:vAlign w:val="center"/>
          </w:tcPr>
          <w:p w:rsidR="00250AF2" w:rsidRPr="00250AF2" w:rsidRDefault="00250AF2" w:rsidP="006412C6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教学</w:t>
            </w:r>
            <w:r w:rsidR="006412C6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成</w:t>
            </w: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果</w:t>
            </w:r>
          </w:p>
          <w:p w:rsidR="00250AF2" w:rsidRPr="00860612" w:rsidRDefault="00250AF2" w:rsidP="006412C6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S</w:t>
            </w:r>
            <w:r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3</w:t>
            </w:r>
            <w:r w:rsidR="0057152D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（15%）</w:t>
            </w:r>
          </w:p>
        </w:tc>
        <w:tc>
          <w:tcPr>
            <w:tcW w:w="529" w:type="pct"/>
            <w:vMerge w:val="restar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指导学生实践或获奖</w:t>
            </w: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color w:val="2A2929"/>
                <w:kern w:val="0"/>
                <w:szCs w:val="21"/>
              </w:rPr>
              <w:t>指导学科竞赛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b/>
                <w:bCs/>
                <w:color w:val="262525"/>
                <w:kern w:val="0"/>
                <w:sz w:val="18"/>
                <w:szCs w:val="18"/>
              </w:rPr>
              <w:t>国家行政</w:t>
            </w:r>
            <w:r w:rsidRPr="00860612">
              <w:rPr>
                <w:rFonts w:ascii="Simsun" w:eastAsia="宋体" w:hAnsi="Simsun" w:cs="宋体"/>
                <w:b/>
                <w:bCs/>
                <w:color w:val="262525"/>
                <w:kern w:val="0"/>
                <w:sz w:val="18"/>
                <w:szCs w:val="18"/>
              </w:rPr>
              <w:t>(</w:t>
            </w:r>
            <w:r w:rsidRPr="00860612">
              <w:rPr>
                <w:rFonts w:ascii="Simsun" w:eastAsia="宋体" w:hAnsi="Simsun" w:cs="宋体"/>
                <w:b/>
                <w:bCs/>
                <w:color w:val="262525"/>
                <w:kern w:val="0"/>
                <w:sz w:val="18"/>
                <w:szCs w:val="18"/>
              </w:rPr>
              <w:t>教育</w:t>
            </w:r>
            <w:r w:rsidRPr="00860612">
              <w:rPr>
                <w:rFonts w:ascii="Simsun" w:eastAsia="宋体" w:hAnsi="Simsun" w:cs="宋体"/>
                <w:b/>
                <w:bCs/>
                <w:color w:val="262525"/>
                <w:kern w:val="0"/>
                <w:sz w:val="18"/>
                <w:szCs w:val="18"/>
              </w:rPr>
              <w:t>)</w:t>
            </w:r>
            <w:r w:rsidRPr="00860612">
              <w:rPr>
                <w:rFonts w:ascii="Simsun" w:eastAsia="宋体" w:hAnsi="Simsun" w:cs="宋体"/>
                <w:b/>
                <w:bCs/>
                <w:color w:val="262525"/>
                <w:kern w:val="0"/>
                <w:sz w:val="18"/>
                <w:szCs w:val="18"/>
              </w:rPr>
              <w:t>主管部门举办的赛事；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、国家奖：集体特等、一、二、三、等奖分别为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55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40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项，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、省级奖：集体特等、一、二、三、等奖分别为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35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项，</w:t>
            </w:r>
          </w:p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b/>
                <w:bCs/>
                <w:color w:val="262525"/>
                <w:kern w:val="0"/>
                <w:sz w:val="18"/>
                <w:szCs w:val="18"/>
              </w:rPr>
              <w:t>非行政部门举办的重要赛事：计算分数占相应级别赛事的</w:t>
            </w:r>
            <w:r w:rsidRPr="00860612">
              <w:rPr>
                <w:rFonts w:ascii="Simsun" w:eastAsia="宋体" w:hAnsi="Simsun" w:cs="宋体"/>
                <w:b/>
                <w:bCs/>
                <w:color w:val="262525"/>
                <w:kern w:val="0"/>
                <w:sz w:val="18"/>
                <w:szCs w:val="18"/>
              </w:rPr>
              <w:t>70%</w:t>
            </w:r>
            <w:r w:rsidRPr="00860612">
              <w:rPr>
                <w:rFonts w:ascii="Simsun" w:eastAsia="宋体" w:hAnsi="Simsun" w:cs="宋体"/>
                <w:b/>
                <w:bCs/>
                <w:color w:val="262525"/>
                <w:kern w:val="0"/>
                <w:sz w:val="18"/>
                <w:szCs w:val="18"/>
              </w:rPr>
              <w:t>。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只填报经过教务处备案认可的赛事。原则上要求指导教师名单应在奖励文件中列出。按奖项统计，同一项目获多级奖项，按照分数就高不就低原则只计一次分。同</w:t>
            </w:r>
            <w:proofErr w:type="gramStart"/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一教师</w:t>
            </w:r>
            <w:proofErr w:type="gramEnd"/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指导学生</w:t>
            </w:r>
            <w:proofErr w:type="gramStart"/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获不同</w:t>
            </w:r>
            <w:proofErr w:type="gramEnd"/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奖项的分别计分。指导老师一般不超过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人，超过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人时教师指导平均分配得分。需上传获奖证书或表彰文件照片。</w:t>
            </w:r>
          </w:p>
        </w:tc>
      </w:tr>
      <w:tr w:rsidR="00250AF2" w:rsidRPr="00860612" w:rsidTr="00601A66">
        <w:trPr>
          <w:trHeight w:val="540"/>
          <w:tblCellSpacing w:w="0" w:type="dxa"/>
        </w:trPr>
        <w:tc>
          <w:tcPr>
            <w:tcW w:w="529" w:type="pct"/>
            <w:vMerge/>
            <w:tcBorders>
              <w:left w:val="outset" w:sz="6" w:space="0" w:color="777777"/>
              <w:right w:val="outset" w:sz="6" w:space="0" w:color="777777"/>
            </w:tcBorders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color w:val="2A2929"/>
                <w:kern w:val="0"/>
                <w:szCs w:val="21"/>
              </w:rPr>
              <w:t>指导学生科研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、学生以第一作者在核心期刊发表学术论文的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篇；在非核心期刊发表学术论文得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篇。</w:t>
            </w:r>
          </w:p>
        </w:tc>
        <w:tc>
          <w:tcPr>
            <w:tcW w:w="1322" w:type="pct"/>
            <w:vMerge w:val="restar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指导教师名单需在文章或奖励文件、专利授权文书中列出。需上传获奖证书、表彰文件或论文发表杂志封面、目录及文章照片。</w:t>
            </w:r>
          </w:p>
        </w:tc>
      </w:tr>
      <w:tr w:rsidR="00250AF2" w:rsidRPr="00860612" w:rsidTr="00601A66">
        <w:trPr>
          <w:trHeight w:val="540"/>
          <w:tblCellSpacing w:w="0" w:type="dxa"/>
        </w:trPr>
        <w:tc>
          <w:tcPr>
            <w:tcW w:w="529" w:type="pct"/>
            <w:vMerge/>
            <w:tcBorders>
              <w:left w:val="outset" w:sz="6" w:space="0" w:color="777777"/>
              <w:right w:val="outset" w:sz="6" w:space="0" w:color="777777"/>
            </w:tcBorders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、学生以第一作者获得专利，国家发明专利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分、实用新型专利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分、外观设计专利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1322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250AF2" w:rsidRPr="00860612" w:rsidTr="00601A66">
        <w:trPr>
          <w:trHeight w:val="540"/>
          <w:tblCellSpacing w:w="0" w:type="dxa"/>
        </w:trPr>
        <w:tc>
          <w:tcPr>
            <w:tcW w:w="529" w:type="pct"/>
            <w:vMerge/>
            <w:tcBorders>
              <w:left w:val="outset" w:sz="6" w:space="0" w:color="777777"/>
              <w:right w:val="outset" w:sz="6" w:space="0" w:color="777777"/>
            </w:tcBorders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、学生获得省级大学生科研成果一、二、三等奖分别为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40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项。</w:t>
            </w:r>
          </w:p>
        </w:tc>
        <w:tc>
          <w:tcPr>
            <w:tcW w:w="1322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250AF2" w:rsidRPr="00860612" w:rsidTr="00601A66">
        <w:trPr>
          <w:trHeight w:val="540"/>
          <w:tblCellSpacing w:w="0" w:type="dxa"/>
        </w:trPr>
        <w:tc>
          <w:tcPr>
            <w:tcW w:w="529" w:type="pct"/>
            <w:vMerge/>
            <w:tcBorders>
              <w:left w:val="outset" w:sz="6" w:space="0" w:color="777777"/>
              <w:bottom w:val="outset" w:sz="6" w:space="0" w:color="777777"/>
              <w:right w:val="outset" w:sz="6" w:space="0" w:color="777777"/>
            </w:tcBorders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color w:val="2A2929"/>
                <w:kern w:val="0"/>
                <w:szCs w:val="21"/>
              </w:rPr>
              <w:t>指导学生实践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、获省优秀学士学位论文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篇。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指导教师名单需在文章或奖励文件中列出。需上传获奖证书或表彰文件照片</w:t>
            </w:r>
          </w:p>
        </w:tc>
      </w:tr>
      <w:tr w:rsidR="00250AF2" w:rsidRPr="00860612" w:rsidTr="006412C6">
        <w:trPr>
          <w:trHeight w:val="540"/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777777"/>
              <w:left w:val="outset" w:sz="6" w:space="0" w:color="777777"/>
              <w:right w:val="outset" w:sz="6" w:space="0" w:color="777777"/>
            </w:tcBorders>
            <w:vAlign w:val="center"/>
          </w:tcPr>
          <w:p w:rsidR="006412C6" w:rsidRPr="00250AF2" w:rsidRDefault="006412C6" w:rsidP="006412C6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lastRenderedPageBreak/>
              <w:t>教学</w:t>
            </w:r>
            <w:r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成</w:t>
            </w: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果</w:t>
            </w:r>
          </w:p>
          <w:p w:rsidR="00250AF2" w:rsidRPr="00860612" w:rsidRDefault="006412C6" w:rsidP="006412C6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S</w:t>
            </w:r>
            <w:r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3</w:t>
            </w:r>
            <w:r w:rsidR="0057152D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（15%）</w:t>
            </w:r>
          </w:p>
        </w:tc>
        <w:tc>
          <w:tcPr>
            <w:tcW w:w="529" w:type="pct"/>
            <w:vMerge w:val="restar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教学研究与改革项目</w:t>
            </w: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color w:val="2A2929"/>
                <w:kern w:val="0"/>
                <w:szCs w:val="21"/>
              </w:rPr>
              <w:t>教研与教改项目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立项获批当年：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、国家级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项。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、全国性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教育部司局或全国教指委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)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40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项。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、省级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项。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、市级重点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项，一般项目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、校级重点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项，一般项目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需上</w:t>
            </w:r>
            <w:proofErr w:type="gramStart"/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传项目</w:t>
            </w:r>
            <w:proofErr w:type="gramEnd"/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批准文件照片。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根据项目批准文件最多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人，超过的人数不计。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根据参与人员排序分配分数：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33%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7%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4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40%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30%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10%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50%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33%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17%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67%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33%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分配。</w:t>
            </w:r>
          </w:p>
        </w:tc>
      </w:tr>
      <w:tr w:rsidR="00250AF2" w:rsidRPr="00860612" w:rsidTr="00155432">
        <w:trPr>
          <w:trHeight w:val="540"/>
          <w:tblCellSpacing w:w="0" w:type="dxa"/>
        </w:trPr>
        <w:tc>
          <w:tcPr>
            <w:tcW w:w="529" w:type="pct"/>
            <w:vMerge/>
            <w:tcBorders>
              <w:left w:val="outset" w:sz="6" w:space="0" w:color="777777"/>
              <w:right w:val="outset" w:sz="6" w:space="0" w:color="777777"/>
            </w:tcBorders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color w:val="2A2929"/>
                <w:kern w:val="0"/>
                <w:szCs w:val="21"/>
              </w:rPr>
              <w:t>教学(教研)成果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获奖当年</w:t>
            </w: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、获国家级一、二、三等奖分别计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80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60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、获省级一、二、三、等奖分别计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60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40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项。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、获市级一、二、三、等奖分别计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40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项。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、获校级特、一、二、三、等奖分别计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15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项。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同一项目获多级奖项，按照分数就高不就低原则只计一次分。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需上传获奖证书或奖励文件。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根据项目批准文件最多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8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人，超过的人数不计。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根据参与人员排序分配分数：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22%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19%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11%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8%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6%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3%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7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25%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21%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18%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11%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4%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28%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19%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5%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33%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7%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4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40%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30%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10%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50%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33%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17%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67%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33%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分配。</w:t>
            </w:r>
          </w:p>
        </w:tc>
      </w:tr>
      <w:tr w:rsidR="00250AF2" w:rsidRPr="00860612" w:rsidTr="00250AF2">
        <w:trPr>
          <w:trHeight w:val="1822"/>
          <w:tblCellSpacing w:w="0" w:type="dxa"/>
        </w:trPr>
        <w:tc>
          <w:tcPr>
            <w:tcW w:w="529" w:type="pct"/>
            <w:vMerge/>
            <w:tcBorders>
              <w:left w:val="outset" w:sz="6" w:space="0" w:color="777777"/>
              <w:right w:val="outset" w:sz="6" w:space="0" w:color="777777"/>
            </w:tcBorders>
          </w:tcPr>
          <w:p w:rsidR="00250AF2" w:rsidRPr="00860612" w:rsidRDefault="00250AF2" w:rsidP="00637B00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</w:p>
        </w:tc>
        <w:tc>
          <w:tcPr>
            <w:tcW w:w="529" w:type="pct"/>
            <w:vMerge w:val="restar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教学建设</w:t>
            </w:r>
          </w:p>
        </w:tc>
        <w:tc>
          <w:tcPr>
            <w:tcW w:w="525" w:type="pct"/>
            <w:vMerge w:val="restar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color w:val="2A2929"/>
                <w:kern w:val="0"/>
                <w:szCs w:val="21"/>
              </w:rPr>
              <w:t>质量工程项目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批准当年：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、国家级项目负责人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年。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、省级项目负责人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年。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、校级项目负责人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年。</w:t>
            </w:r>
          </w:p>
        </w:tc>
        <w:tc>
          <w:tcPr>
            <w:tcW w:w="1322" w:type="pct"/>
            <w:vMerge w:val="restar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包括专业建设项目（品牌专业、特色专业、专业综合改革、产业计划等）、教学基地建设项目（实验示范中心、虚拟仿真实验中心、教学实践示范基地、创新实践基地等）、教学团队建设项目、课程建设项目（精品课程、精品视频公开课、资源共享课、在线课程、精彩一课等）。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上</w:t>
            </w:r>
            <w:proofErr w:type="gramStart"/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传批准</w:t>
            </w:r>
            <w:proofErr w:type="gramEnd"/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文件或建设工作总结。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根据项目批准文件最多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人，超过的人数不计。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 xml:space="preserve"> 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根据参与人员排序分配分数：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18%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16%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12%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9%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5%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9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18%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16%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11%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9%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22%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19%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11%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8%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6%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lastRenderedPageBreak/>
              <w:t>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7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25%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21%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18%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11%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28%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19%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14%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5%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分配，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 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按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33%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27%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13%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7%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分配，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 </w:t>
            </w:r>
            <w:r w:rsidRPr="00250AF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4</w:t>
            </w:r>
            <w:r w:rsidRPr="00250AF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按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40%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30%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20%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10%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分配，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 </w:t>
            </w:r>
            <w:r w:rsidRPr="00250AF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 w:rsidRPr="00250AF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按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50%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33%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17%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分配，</w:t>
            </w:r>
            <w:r w:rsidRPr="00250AF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 w:rsidRPr="00250AF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按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67%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，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33%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分配。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 xml:space="preserve"> </w:t>
            </w:r>
            <w:r w:rsidRPr="00250AF2">
              <w:rPr>
                <w:rFonts w:ascii="Simsun" w:eastAsia="宋体" w:hAnsi="Simsun" w:cs="宋体"/>
                <w:b/>
                <w:color w:val="262525"/>
                <w:kern w:val="0"/>
                <w:sz w:val="18"/>
                <w:szCs w:val="18"/>
              </w:rPr>
              <w:t>批准当年按照上述规则积分，建设期内按照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上述积分规则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20%</w:t>
            </w: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计算积分。</w:t>
            </w:r>
          </w:p>
        </w:tc>
      </w:tr>
      <w:tr w:rsidR="00250AF2" w:rsidRPr="00860612" w:rsidTr="00C01E6C">
        <w:trPr>
          <w:trHeight w:val="540"/>
          <w:tblCellSpacing w:w="0" w:type="dxa"/>
        </w:trPr>
        <w:tc>
          <w:tcPr>
            <w:tcW w:w="529" w:type="pct"/>
            <w:vMerge/>
            <w:tcBorders>
              <w:left w:val="outset" w:sz="6" w:space="0" w:color="777777"/>
              <w:bottom w:val="outset" w:sz="6" w:space="0" w:color="777777"/>
              <w:right w:val="outset" w:sz="6" w:space="0" w:color="777777"/>
            </w:tcBorders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建设期间：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按批准当年所得分数的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20%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计算</w:t>
            </w:r>
          </w:p>
        </w:tc>
        <w:tc>
          <w:tcPr>
            <w:tcW w:w="1322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250AF2" w:rsidRPr="00860612" w:rsidTr="006412C6">
        <w:trPr>
          <w:trHeight w:val="540"/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777777"/>
              <w:left w:val="outset" w:sz="6" w:space="0" w:color="777777"/>
              <w:right w:val="outset" w:sz="6" w:space="0" w:color="777777"/>
            </w:tcBorders>
            <w:vAlign w:val="center"/>
          </w:tcPr>
          <w:p w:rsidR="006412C6" w:rsidRPr="00250AF2" w:rsidRDefault="006412C6" w:rsidP="006412C6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lastRenderedPageBreak/>
              <w:t>教学</w:t>
            </w:r>
            <w:r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成</w:t>
            </w: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果</w:t>
            </w:r>
          </w:p>
          <w:p w:rsidR="00250AF2" w:rsidRPr="006412C6" w:rsidRDefault="006412C6" w:rsidP="006412C6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250AF2"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  <w:t>S</w:t>
            </w:r>
            <w:r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3</w:t>
            </w:r>
            <w:r w:rsidR="0057152D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（15%）</w:t>
            </w:r>
          </w:p>
        </w:tc>
        <w:tc>
          <w:tcPr>
            <w:tcW w:w="529" w:type="pct"/>
            <w:vMerge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color w:val="2A2929"/>
                <w:kern w:val="0"/>
                <w:szCs w:val="21"/>
              </w:rPr>
              <w:t>教材建设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出版当年</w:t>
            </w: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、国家规划教材主编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本；副主编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、普通教材主编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本；副主编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、译著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本；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、参编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本；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需上传教材封面、目录及封底照片。</w:t>
            </w:r>
          </w:p>
        </w:tc>
      </w:tr>
      <w:tr w:rsidR="00250AF2" w:rsidRPr="00860612" w:rsidTr="006F4379">
        <w:trPr>
          <w:trHeight w:val="540"/>
          <w:tblCellSpacing w:w="0" w:type="dxa"/>
        </w:trPr>
        <w:tc>
          <w:tcPr>
            <w:tcW w:w="529" w:type="pct"/>
            <w:vMerge/>
            <w:tcBorders>
              <w:left w:val="outset" w:sz="6" w:space="0" w:color="777777"/>
              <w:bottom w:val="outset" w:sz="6" w:space="0" w:color="777777"/>
              <w:right w:val="outset" w:sz="6" w:space="0" w:color="777777"/>
            </w:tcBorders>
          </w:tcPr>
          <w:p w:rsidR="00250AF2" w:rsidRPr="00860612" w:rsidRDefault="00250AF2" w:rsidP="00637B00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b/>
                <w:bCs/>
                <w:color w:val="2A2929"/>
                <w:kern w:val="0"/>
                <w:szCs w:val="21"/>
              </w:rPr>
              <w:t>教学研究论文或论著</w:t>
            </w:r>
          </w:p>
        </w:tc>
        <w:tc>
          <w:tcPr>
            <w:tcW w:w="52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tabs>
                <w:tab w:val="left" w:pos="900"/>
              </w:tabs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宋体"/>
                <w:color w:val="2A2929"/>
                <w:kern w:val="0"/>
                <w:szCs w:val="21"/>
              </w:rPr>
            </w:pPr>
            <w:r w:rsidRPr="00860612">
              <w:rPr>
                <w:rFonts w:ascii="微软雅黑" w:eastAsia="微软雅黑" w:hAnsi="微软雅黑" w:cs="宋体" w:hint="eastAsia"/>
                <w:color w:val="2A2929"/>
                <w:kern w:val="0"/>
                <w:szCs w:val="21"/>
              </w:rPr>
              <w:t>教学研究论文或论著</w:t>
            </w:r>
          </w:p>
        </w:tc>
        <w:tc>
          <w:tcPr>
            <w:tcW w:w="2095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论文发表当年</w:t>
            </w:r>
            <w:r w:rsidRPr="00860612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、第一作者核心期刊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篇，合作者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篇；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、第一作者国内期刊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篇，合作者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篇；</w:t>
            </w:r>
          </w:p>
          <w:p w:rsidR="00250AF2" w:rsidRPr="00860612" w:rsidRDefault="00250AF2" w:rsidP="00637B00">
            <w:pPr>
              <w:widowControl/>
              <w:spacing w:line="270" w:lineRule="atLeast"/>
              <w:ind w:left="1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、正式出版的会议论文集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篇，合作者</w:t>
            </w:r>
            <w:r w:rsidRPr="00860612">
              <w:rPr>
                <w:rFonts w:ascii="Simsun" w:eastAsia="宋体" w:hAnsi="Simsun" w:cs="宋体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分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860612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篇；</w:t>
            </w:r>
          </w:p>
        </w:tc>
        <w:tc>
          <w:tcPr>
            <w:tcW w:w="1322" w:type="pct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:rsidR="00250AF2" w:rsidRPr="00860612" w:rsidRDefault="00250AF2" w:rsidP="00637B00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860612">
              <w:rPr>
                <w:rFonts w:ascii="Simsun" w:eastAsia="宋体" w:hAnsi="Simsun" w:cs="宋体"/>
                <w:color w:val="262525"/>
                <w:kern w:val="0"/>
                <w:sz w:val="18"/>
                <w:szCs w:val="18"/>
              </w:rPr>
              <w:t>期刊级别认定以校科研处公布的名录为准。需上传文发表期刊封面、目录、文章及封底照片。</w:t>
            </w:r>
          </w:p>
        </w:tc>
      </w:tr>
    </w:tbl>
    <w:p w:rsidR="000F6E08" w:rsidRPr="000F6E08" w:rsidRDefault="000F6E08">
      <w:bookmarkStart w:id="0" w:name="_GoBack"/>
      <w:bookmarkEnd w:id="0"/>
    </w:p>
    <w:sectPr w:rsidR="000F6E08" w:rsidRPr="000F6E08" w:rsidSect="00637B00">
      <w:pgSz w:w="16838" w:h="11906" w:orient="landscape"/>
      <w:pgMar w:top="1418" w:right="851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FD" w:rsidRDefault="007363FD" w:rsidP="00206A3B">
      <w:r>
        <w:separator/>
      </w:r>
    </w:p>
  </w:endnote>
  <w:endnote w:type="continuationSeparator" w:id="0">
    <w:p w:rsidR="007363FD" w:rsidRDefault="007363FD" w:rsidP="002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FD" w:rsidRDefault="007363FD" w:rsidP="00206A3B">
      <w:r>
        <w:separator/>
      </w:r>
    </w:p>
  </w:footnote>
  <w:footnote w:type="continuationSeparator" w:id="0">
    <w:p w:rsidR="007363FD" w:rsidRDefault="007363FD" w:rsidP="0020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DC"/>
    <w:rsid w:val="000F6E08"/>
    <w:rsid w:val="00197AE7"/>
    <w:rsid w:val="00206A3B"/>
    <w:rsid w:val="00250AF2"/>
    <w:rsid w:val="002C5112"/>
    <w:rsid w:val="0037778C"/>
    <w:rsid w:val="003E1FDC"/>
    <w:rsid w:val="00511121"/>
    <w:rsid w:val="0057152D"/>
    <w:rsid w:val="00637B00"/>
    <w:rsid w:val="006412C6"/>
    <w:rsid w:val="006A4D74"/>
    <w:rsid w:val="007305BF"/>
    <w:rsid w:val="007363FD"/>
    <w:rsid w:val="00831E6D"/>
    <w:rsid w:val="00860612"/>
    <w:rsid w:val="00AD66CE"/>
    <w:rsid w:val="00E1703C"/>
    <w:rsid w:val="00F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60612"/>
  </w:style>
  <w:style w:type="character" w:customStyle="1" w:styleId="specialc">
    <w:name w:val="special_c"/>
    <w:basedOn w:val="a0"/>
    <w:rsid w:val="00860612"/>
  </w:style>
  <w:style w:type="paragraph" w:styleId="a4">
    <w:name w:val="header"/>
    <w:basedOn w:val="a"/>
    <w:link w:val="Char"/>
    <w:uiPriority w:val="99"/>
    <w:unhideWhenUsed/>
    <w:rsid w:val="0020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A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A3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1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6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60612"/>
  </w:style>
  <w:style w:type="character" w:customStyle="1" w:styleId="specialc">
    <w:name w:val="special_c"/>
    <w:basedOn w:val="a0"/>
    <w:rsid w:val="00860612"/>
  </w:style>
  <w:style w:type="paragraph" w:styleId="a4">
    <w:name w:val="header"/>
    <w:basedOn w:val="a"/>
    <w:link w:val="Char"/>
    <w:uiPriority w:val="99"/>
    <w:unhideWhenUsed/>
    <w:rsid w:val="0020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A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A3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1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4583-243B-49C6-833E-564390EA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26</cp:revision>
  <cp:lastPrinted>2017-05-27T07:38:00Z</cp:lastPrinted>
  <dcterms:created xsi:type="dcterms:W3CDTF">2017-05-27T07:29:00Z</dcterms:created>
  <dcterms:modified xsi:type="dcterms:W3CDTF">2017-06-15T06:19:00Z</dcterms:modified>
</cp:coreProperties>
</file>