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金融学专业人才培养方案（辅修）</w:t>
      </w:r>
    </w:p>
    <w:p>
      <w:pPr>
        <w:spacing w:line="360" w:lineRule="auto"/>
        <w:jc w:val="center"/>
        <w:outlineLvl w:val="0"/>
        <w:rPr>
          <w:rFonts w:asciiTheme="majorEastAsia" w:hAnsiTheme="majorEastAsia" w:eastAsiaTheme="majorEastAsia" w:cstheme="majorEastAsia"/>
          <w:kern w:val="36"/>
          <w:sz w:val="32"/>
          <w:szCs w:val="32"/>
        </w:rPr>
      </w:pPr>
      <w:r>
        <w:rPr>
          <w:rFonts w:hint="eastAsia" w:asciiTheme="majorEastAsia" w:hAnsiTheme="majorEastAsia" w:eastAsiaTheme="majorEastAsia" w:cstheme="majorEastAsia"/>
          <w:kern w:val="36"/>
          <w:sz w:val="32"/>
          <w:szCs w:val="32"/>
        </w:rPr>
        <w:t>（</w:t>
      </w:r>
      <w:r>
        <w:rPr>
          <w:rFonts w:asciiTheme="majorEastAsia" w:hAnsiTheme="majorEastAsia" w:eastAsiaTheme="majorEastAsia" w:cstheme="majorEastAsia"/>
          <w:kern w:val="36"/>
          <w:sz w:val="32"/>
          <w:szCs w:val="32"/>
        </w:rPr>
        <w:t>Finance　020301K</w:t>
      </w:r>
      <w:r>
        <w:rPr>
          <w:rFonts w:hint="eastAsia" w:asciiTheme="majorEastAsia" w:hAnsiTheme="majorEastAsia" w:eastAsiaTheme="majorEastAsia" w:cstheme="majorEastAsia"/>
          <w:kern w:val="36"/>
          <w:sz w:val="32"/>
          <w:szCs w:val="32"/>
        </w:rPr>
        <w:t>）</w:t>
      </w:r>
    </w:p>
    <w:p>
      <w:pPr>
        <w:spacing w:before="240" w:beforeLines="100" w:after="0" w:line="360" w:lineRule="exact"/>
        <w:ind w:firstLine="482" w:firstLineChars="200"/>
        <w:rPr>
          <w:rFonts w:asciiTheme="majorEastAsia" w:hAnsiTheme="majorEastAsia" w:eastAsiaTheme="majorEastAsia"/>
          <w:b/>
          <w:bCs/>
          <w:sz w:val="24"/>
          <w:szCs w:val="24"/>
        </w:rPr>
      </w:pPr>
      <w:r>
        <w:rPr>
          <w:rFonts w:hint="eastAsia" w:cs="宋体" w:asciiTheme="majorEastAsia" w:hAnsiTheme="majorEastAsia" w:eastAsiaTheme="majorEastAsia"/>
          <w:b/>
          <w:bCs/>
          <w:sz w:val="24"/>
          <w:szCs w:val="24"/>
        </w:rPr>
        <w:t>一、专业简介</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金融学专业隶属于商学院金融与国际贸易系。2</w:t>
      </w:r>
      <w:r>
        <w:rPr>
          <w:rFonts w:cs="宋体" w:asciiTheme="minorEastAsia" w:hAnsiTheme="minorEastAsia" w:eastAsiaTheme="minorEastAsia"/>
          <w:sz w:val="21"/>
          <w:szCs w:val="21"/>
        </w:rPr>
        <w:t>002</w:t>
      </w:r>
      <w:r>
        <w:rPr>
          <w:rFonts w:hint="eastAsia" w:cs="宋体" w:asciiTheme="minorEastAsia" w:hAnsiTheme="minorEastAsia" w:eastAsiaTheme="minorEastAsia"/>
          <w:sz w:val="21"/>
          <w:szCs w:val="21"/>
        </w:rPr>
        <w:t>年开始招生大学本科学生，2</w:t>
      </w:r>
      <w:r>
        <w:rPr>
          <w:rFonts w:cs="宋体" w:asciiTheme="minorEastAsia" w:hAnsiTheme="minorEastAsia" w:eastAsiaTheme="minorEastAsia"/>
          <w:sz w:val="21"/>
          <w:szCs w:val="21"/>
        </w:rPr>
        <w:t>011</w:t>
      </w:r>
      <w:r>
        <w:rPr>
          <w:rFonts w:hint="eastAsia" w:cs="宋体" w:asciiTheme="minorEastAsia" w:hAnsiTheme="minorEastAsia" w:eastAsiaTheme="minorEastAsia"/>
          <w:sz w:val="21"/>
          <w:szCs w:val="21"/>
        </w:rPr>
        <w:t>年管理科学与工程硕士点设立“投融资与风险控制”二级学科，2</w:t>
      </w:r>
      <w:r>
        <w:rPr>
          <w:rFonts w:cs="宋体" w:asciiTheme="minorEastAsia" w:hAnsiTheme="minorEastAsia" w:eastAsiaTheme="minorEastAsia"/>
          <w:sz w:val="21"/>
          <w:szCs w:val="21"/>
        </w:rPr>
        <w:t>013</w:t>
      </w:r>
      <w:r>
        <w:rPr>
          <w:rFonts w:hint="eastAsia" w:cs="宋体" w:asciiTheme="minorEastAsia" w:hAnsiTheme="minorEastAsia" w:eastAsiaTheme="minorEastAsia"/>
          <w:sz w:val="21"/>
          <w:szCs w:val="21"/>
        </w:rPr>
        <w:t>年开始招收金融学双学位本科生，2</w:t>
      </w:r>
      <w:r>
        <w:rPr>
          <w:rFonts w:cs="宋体" w:asciiTheme="minorEastAsia" w:hAnsiTheme="minorEastAsia" w:eastAsiaTheme="minorEastAsia"/>
          <w:sz w:val="21"/>
          <w:szCs w:val="21"/>
        </w:rPr>
        <w:t>021</w:t>
      </w:r>
      <w:r>
        <w:rPr>
          <w:rFonts w:hint="eastAsia" w:cs="宋体" w:asciiTheme="minorEastAsia" w:hAnsiTheme="minorEastAsia" w:eastAsiaTheme="minorEastAsia"/>
          <w:sz w:val="21"/>
          <w:szCs w:val="21"/>
        </w:rPr>
        <w:t>年获批金融硕士专业学位授权点。现有专任教师1</w:t>
      </w:r>
      <w:r>
        <w:rPr>
          <w:rFonts w:cs="宋体" w:asciiTheme="minorEastAsia" w:hAnsiTheme="minorEastAsia" w:eastAsiaTheme="minorEastAsia"/>
          <w:sz w:val="21"/>
          <w:szCs w:val="21"/>
        </w:rPr>
        <w:t>7</w:t>
      </w:r>
      <w:r>
        <w:rPr>
          <w:rFonts w:hint="eastAsia" w:cs="宋体" w:asciiTheme="minorEastAsia" w:hAnsiTheme="minorEastAsia" w:eastAsiaTheme="minorEastAsia"/>
          <w:sz w:val="21"/>
          <w:szCs w:val="21"/>
        </w:rPr>
        <w:t>人，其中教授2名，副教授5名，具有博士学位教师9名，每年本科招生规模7</w:t>
      </w:r>
      <w:r>
        <w:rPr>
          <w:rFonts w:cs="宋体" w:asciiTheme="minorEastAsia" w:hAnsiTheme="minorEastAsia" w:eastAsiaTheme="minorEastAsia"/>
          <w:sz w:val="21"/>
          <w:szCs w:val="21"/>
        </w:rPr>
        <w:t>0</w:t>
      </w:r>
      <w:r>
        <w:rPr>
          <w:rFonts w:hint="eastAsia" w:cs="宋体" w:asciiTheme="minorEastAsia" w:hAnsiTheme="minorEastAsia" w:eastAsiaTheme="minorEastAsia"/>
          <w:sz w:val="21"/>
          <w:szCs w:val="21"/>
        </w:rPr>
        <w:t>人左右，在校生3</w:t>
      </w:r>
      <w:r>
        <w:rPr>
          <w:rFonts w:cs="宋体" w:asciiTheme="minorEastAsia" w:hAnsiTheme="minorEastAsia" w:eastAsiaTheme="minorEastAsia"/>
          <w:sz w:val="21"/>
          <w:szCs w:val="21"/>
        </w:rPr>
        <w:t>55</w:t>
      </w:r>
      <w:r>
        <w:rPr>
          <w:rFonts w:hint="eastAsia" w:cs="宋体" w:asciiTheme="minorEastAsia" w:hAnsiTheme="minorEastAsia" w:eastAsiaTheme="minorEastAsia"/>
          <w:sz w:val="21"/>
          <w:szCs w:val="21"/>
        </w:rPr>
        <w:t>人。建设有专业化的金融实验室，是湖北省一流本科专业。学生未来就业单位主要包括金融机构、政府部门和企事业单位等。本专业主要特色和优势为：</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1.锚定重大发展战略，专业建设有方向。服务中部崛起战略和长江经济带发展战略实施，围绕武汉加快打造全国经济中心、国家科技创新中心、国家商贸物流中心、国际交往中心和区域金融中心的现实需要建设国内一流专业，方向明确。</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注重理论联系实际，人才培养有质量。基于地方综合性大学多学科的优势，依托省级虚拟仿真实验教学中心、虚拟仿真实验教学项目，注重金融理论与实务操作的结合，为地方经济建设培养了两千余名留得住、用得好，兼具研究和应用能力、德才兼备的金融人才。</w:t>
      </w:r>
    </w:p>
    <w:p>
      <w:pPr>
        <w:spacing w:after="120" w:afterLines="5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3.加强校企合作办学，产教融合有实效。积极与国外高校、金融机构和职业教育培训机构深入开展合作，探索“中美班”、“汉口银行班”、“CFA方向班”等人才培养新模式，构建以服务学生为中心的协同育人新机制。</w:t>
      </w:r>
    </w:p>
    <w:p>
      <w:pPr>
        <w:spacing w:before="240" w:beforeLines="100" w:after="0" w:line="360" w:lineRule="exact"/>
        <w:ind w:firstLine="482" w:firstLineChars="200"/>
        <w:rPr>
          <w:rFonts w:cs="宋体" w:asciiTheme="majorEastAsia" w:hAnsiTheme="majorEastAsia" w:eastAsiaTheme="majorEastAsia"/>
          <w:b/>
          <w:bCs/>
          <w:sz w:val="24"/>
          <w:szCs w:val="24"/>
        </w:rPr>
      </w:pPr>
      <w:r>
        <w:rPr>
          <w:rFonts w:hint="eastAsia" w:cs="宋体" w:asciiTheme="majorEastAsia" w:hAnsiTheme="majorEastAsia" w:eastAsiaTheme="majorEastAsia"/>
          <w:b/>
          <w:bCs/>
          <w:sz w:val="24"/>
          <w:szCs w:val="24"/>
        </w:rPr>
        <w:t>二、培养目标</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本专业坚持“立足武汉、面向湖北、辐射全国”的人才培养目标定位，培养德智体美劳全面发展，具有社会责任感、良好职业道德、团队合作精神和较强实践能力，系统掌握金融专业知识和相关技能，具备在国内外教育科研机构继续攻读更高等级学位（或从事学术研究）的资格条件，能胜任金融机构、政府部门和企事业单位专业工作的高级应用型金融人才。</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本专业毕业生工作5年左右在社会和专业领域应达到的具体目标如下：</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目标 1（专业能力）：具备金融宏观调控、金融产品营销、金融客户拓展、金融业务培训、金融业务合作、金融企业区域运营、金融产品研发管理、金融风险控制等岗位职责能力，融会贯通并熟练应用经济学、管理学等相关学科专业领域知识和技能，能够独立胜任货币流通和信用活动、金融市场运行与投融资决策、金融产品定价及风险管理、金融机构经营管理、金融宏观调控等领域的工作。</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目标 2（职业素养）：具有良好的人文科学素养和社会责任感，遵守职业规范，能综合考虑法律、环境与可持续发展和金融学专业的关系，及时跟踪金融学专业和相关新拓展领域的国内外发展前沿并应用于金融业务拓展和金融企业管理等实际，具备金融产品开发和管理等创新能力，熟练运用现代工具从事本领域的开发、管理等实践。</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 xml:space="preserve">目标 3（管理与沟通）：具备团队合作精神和经营管理能力，能与同事、客户和公众进行有效沟通，能与业界有效交流与合作，能够从法律、伦理、社会、环境和经济等角度管理金融产品和项目。 </w:t>
      </w:r>
    </w:p>
    <w:p>
      <w:pPr>
        <w:spacing w:after="120" w:afterLines="50" w:line="360" w:lineRule="exact"/>
        <w:ind w:firstLine="420" w:firstLineChars="200"/>
        <w:jc w:val="both"/>
        <w:rPr>
          <w:rFonts w:asciiTheme="majorEastAsia" w:hAnsiTheme="majorEastAsia" w:eastAsiaTheme="majorEastAsia"/>
          <w:b/>
          <w:bCs/>
          <w:sz w:val="24"/>
          <w:szCs w:val="24"/>
        </w:rPr>
      </w:pPr>
      <w:r>
        <w:rPr>
          <w:rFonts w:hint="eastAsia" w:cs="宋体" w:asciiTheme="minorEastAsia" w:hAnsiTheme="minorEastAsia" w:eastAsiaTheme="minorEastAsia"/>
          <w:sz w:val="21"/>
          <w:szCs w:val="21"/>
        </w:rPr>
        <w:t>目标 4（创新与发展）：具备较强的创新意识和自我学习能力，能够把握金融发展的趋势，学以致用，创造性地解决实际金融问题；能主动适应社会经济发展的需要、持续跟踪本专业前沿知识和技术，进行知识拓展和更新，具备国际视野和可持续发展理念，能够通过终身学习获取知识、提升能力。</w:t>
      </w:r>
    </w:p>
    <w:p>
      <w:pPr>
        <w:spacing w:before="240" w:beforeLines="100" w:after="0" w:line="360" w:lineRule="exact"/>
        <w:ind w:firstLine="482" w:firstLineChars="200"/>
        <w:rPr>
          <w:rFonts w:cs="宋体" w:asciiTheme="majorEastAsia" w:hAnsiTheme="majorEastAsia" w:eastAsiaTheme="majorEastAsia"/>
          <w:b/>
          <w:bCs/>
          <w:sz w:val="24"/>
          <w:szCs w:val="24"/>
        </w:rPr>
      </w:pPr>
      <w:r>
        <w:rPr>
          <w:rFonts w:hint="eastAsia" w:cs="宋体" w:asciiTheme="majorEastAsia" w:hAnsiTheme="majorEastAsia" w:eastAsiaTheme="majorEastAsia"/>
          <w:b/>
          <w:bCs/>
          <w:sz w:val="24"/>
          <w:szCs w:val="24"/>
        </w:rPr>
        <w:t>三、毕业要求</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本专业学生主要学习经济学科和金融学科的基本理论和基本知识，接受金融相关业务的基本训练，掌握持续获取知识、从事金融领域实际工作、创新创业等基本能力。毕业生应达到以下要求：</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1.学科专业知识：系统掌握经济学、金融学等科学及相关领域的基础知识、基本理论，能够综合运用人文社会科学基础知识和专业知识指导开展专业实践。</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综合应用：能够综合运用学科专业知识对金融宏观调控、货币流通和信用活动、金融市场运行与投融资决策、金融产品定价及风险管理、金融机构经营管理等专业领域的复杂问题进行综合分析和研究，并提出相应对策或解决方案。</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3.信息技术与研究：熟练掌握计算机和相关软件操作，能够针对专业问题，可以借助信息技术手段进行数据分析、开展文献检索、资料查询，掌握从事本专业科学研究的一般研究方法和研究技能。</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4.职业规范：具有扎实的人文科学素养和健康的身心素质、社会责任感、正确的世界观、人生观和价值观，熟悉社会国情和政策法规，能够在专业生产实践中理解并遵守职业道德规范，履行责任。</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 xml:space="preserve">5.个人与团队：具有团队协作意识，能够有效地与项目团队成员协调合作，并促成团队目标的实现。 </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6.沟通：能够就专业领域的问题与业界同行及社会公众进行有效沟通和交流，包括撰写报告和设计文稿、陈述发言、清晰表达或回应指令。具有一定的国际视野，能够在跨文化背景下进行沟通和交流。</w:t>
      </w:r>
    </w:p>
    <w:p>
      <w:pPr>
        <w:spacing w:after="0" w:line="360" w:lineRule="exact"/>
        <w:ind w:firstLine="420" w:firstLineChars="200"/>
        <w:jc w:val="both"/>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7.终身学习：能够正确认识到自我持续发展的重要性，树立自主学习、终身学习观念与习惯，掌握自主学习方法，具有不断学习和适应发展的能力。</w:t>
      </w:r>
    </w:p>
    <w:p>
      <w:pPr>
        <w:spacing w:before="240" w:beforeLines="100" w:after="0" w:line="360" w:lineRule="exact"/>
        <w:ind w:firstLine="482" w:firstLineChars="200"/>
        <w:rPr>
          <w:rFonts w:cs="宋体" w:asciiTheme="majorEastAsia" w:hAnsiTheme="majorEastAsia" w:eastAsiaTheme="majorEastAsia"/>
          <w:b/>
          <w:bCs/>
          <w:sz w:val="24"/>
          <w:szCs w:val="24"/>
        </w:rPr>
      </w:pPr>
      <w:r>
        <w:rPr>
          <w:rFonts w:hint="eastAsia" w:cs="宋体" w:asciiTheme="majorEastAsia" w:hAnsiTheme="majorEastAsia" w:eastAsiaTheme="majorEastAsia"/>
          <w:b/>
          <w:bCs/>
          <w:sz w:val="24"/>
          <w:szCs w:val="24"/>
        </w:rPr>
        <w:t>四、</w:t>
      </w:r>
      <w:r>
        <w:rPr>
          <w:rFonts w:hint="eastAsia" w:cs="宋体" w:asciiTheme="majorEastAsia" w:hAnsiTheme="majorEastAsia" w:eastAsiaTheme="majorEastAsia"/>
          <w:b/>
          <w:bCs/>
          <w:sz w:val="24"/>
          <w:szCs w:val="24"/>
          <w:lang w:eastAsia="zh-CN"/>
        </w:rPr>
        <w:t>主修</w:t>
      </w:r>
      <w:r>
        <w:rPr>
          <w:rFonts w:hint="eastAsia" w:cs="宋体" w:asciiTheme="majorEastAsia" w:hAnsiTheme="majorEastAsia" w:eastAsiaTheme="majorEastAsia"/>
          <w:b/>
          <w:bCs/>
          <w:sz w:val="24"/>
          <w:szCs w:val="24"/>
        </w:rPr>
        <w:t>课程</w:t>
      </w:r>
    </w:p>
    <w:p>
      <w:pPr>
        <w:wordWrap w:val="0"/>
        <w:spacing w:after="120" w:afterLines="50" w:line="360" w:lineRule="exact"/>
        <w:ind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微观经济学、宏观经济学、金融学、商业银行经营管理、证券投资学、国际金融、公司金融、金融风险管理等。</w:t>
      </w:r>
      <w:bookmarkStart w:id="0" w:name="_GoBack"/>
      <w:bookmarkEnd w:id="0"/>
    </w:p>
    <w:p>
      <w:pPr>
        <w:spacing w:before="240" w:beforeLines="100" w:after="0" w:line="360" w:lineRule="exact"/>
        <w:ind w:firstLine="482" w:firstLineChars="200"/>
        <w:rPr>
          <w:rFonts w:hint="eastAsia" w:cs="宋体" w:asciiTheme="majorEastAsia" w:hAnsiTheme="majorEastAsia" w:eastAsiaTheme="majorEastAsia"/>
          <w:b/>
          <w:bCs/>
          <w:sz w:val="24"/>
          <w:szCs w:val="24"/>
          <w:lang w:eastAsia="zh-CN"/>
        </w:rPr>
      </w:pPr>
      <w:r>
        <w:rPr>
          <w:rFonts w:hint="eastAsia" w:cs="宋体" w:asciiTheme="majorEastAsia" w:hAnsiTheme="majorEastAsia" w:eastAsiaTheme="majorEastAsia"/>
          <w:b/>
          <w:bCs/>
          <w:sz w:val="24"/>
          <w:szCs w:val="24"/>
          <w:lang w:eastAsia="zh-CN"/>
        </w:rPr>
        <w:t>五、实践环节</w:t>
      </w:r>
    </w:p>
    <w:p>
      <w:pPr>
        <w:spacing w:after="0" w:line="360" w:lineRule="exact"/>
        <w:ind w:firstLine="630" w:firstLineChars="300"/>
        <w:jc w:val="both"/>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毕业论文</w:t>
      </w:r>
    </w:p>
    <w:p>
      <w:pPr>
        <w:spacing w:before="240" w:beforeLines="100" w:after="0" w:line="360" w:lineRule="exact"/>
        <w:ind w:firstLine="482" w:firstLineChars="200"/>
        <w:rPr>
          <w:rFonts w:hint="eastAsia" w:cs="宋体" w:asciiTheme="majorEastAsia" w:hAnsiTheme="majorEastAsia" w:eastAsiaTheme="majorEastAsia"/>
          <w:b/>
          <w:bCs/>
          <w:sz w:val="24"/>
          <w:szCs w:val="24"/>
          <w:lang w:eastAsia="zh-CN"/>
        </w:rPr>
      </w:pPr>
      <w:r>
        <w:rPr>
          <w:rFonts w:hint="eastAsia" w:cs="宋体" w:asciiTheme="majorEastAsia" w:hAnsiTheme="majorEastAsia" w:eastAsiaTheme="majorEastAsia"/>
          <w:b/>
          <w:bCs/>
          <w:sz w:val="24"/>
          <w:szCs w:val="24"/>
          <w:lang w:eastAsia="zh-CN"/>
        </w:rPr>
        <w:t>六、学制、学分和学位</w:t>
      </w:r>
    </w:p>
    <w:p>
      <w:pPr>
        <w:spacing w:after="0" w:line="360" w:lineRule="exact"/>
        <w:ind w:firstLine="420" w:firstLineChars="200"/>
        <w:jc w:val="both"/>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学制2</w:t>
      </w:r>
      <w:r>
        <w:rPr>
          <w:rFonts w:cs="宋体" w:asciiTheme="minorEastAsia" w:hAnsiTheme="minorEastAsia" w:eastAsiaTheme="minorEastAsia"/>
          <w:sz w:val="21"/>
          <w:szCs w:val="21"/>
        </w:rPr>
        <w:t>.5</w:t>
      </w:r>
      <w:r>
        <w:rPr>
          <w:rFonts w:hint="eastAsia" w:cs="宋体" w:asciiTheme="minorEastAsia" w:hAnsiTheme="minorEastAsia" w:eastAsiaTheme="minorEastAsia"/>
          <w:sz w:val="21"/>
          <w:szCs w:val="21"/>
        </w:rPr>
        <w:t>年，</w:t>
      </w:r>
      <w:r>
        <w:rPr>
          <w:rFonts w:hint="eastAsia" w:cs="宋体" w:asciiTheme="minorEastAsia" w:hAnsiTheme="minorEastAsia" w:eastAsiaTheme="minorEastAsia"/>
          <w:sz w:val="21"/>
          <w:szCs w:val="21"/>
          <w:lang w:eastAsia="zh-CN"/>
        </w:rPr>
        <w:t>修读</w:t>
      </w:r>
      <w:r>
        <w:rPr>
          <w:rFonts w:hint="eastAsia" w:cs="宋体" w:asciiTheme="minorEastAsia" w:hAnsiTheme="minorEastAsia" w:eastAsiaTheme="minorEastAsia"/>
          <w:sz w:val="21"/>
          <w:szCs w:val="21"/>
        </w:rPr>
        <w:t>培养目标教学计划课程</w:t>
      </w:r>
      <w:r>
        <w:rPr>
          <w:rFonts w:hint="eastAsia" w:cs="宋体" w:asciiTheme="minorEastAsia" w:hAnsiTheme="minorEastAsia" w:eastAsiaTheme="minorEastAsia"/>
          <w:sz w:val="21"/>
          <w:szCs w:val="21"/>
          <w:lang w:eastAsia="zh-CN"/>
        </w:rPr>
        <w:t>达</w:t>
      </w:r>
      <w:r>
        <w:rPr>
          <w:rFonts w:hint="eastAsia" w:cs="宋体" w:asciiTheme="minorEastAsia" w:hAnsiTheme="minorEastAsia" w:eastAsiaTheme="minorEastAsia"/>
          <w:sz w:val="21"/>
          <w:szCs w:val="21"/>
          <w:lang w:val="en-US" w:eastAsia="zh-CN"/>
        </w:rPr>
        <w:t>28</w:t>
      </w:r>
      <w:r>
        <w:rPr>
          <w:rFonts w:hint="eastAsia" w:cs="宋体" w:asciiTheme="minorEastAsia" w:hAnsiTheme="minorEastAsia" w:eastAsiaTheme="minorEastAsia"/>
          <w:sz w:val="21"/>
          <w:szCs w:val="21"/>
        </w:rPr>
        <w:t>学分，颁发</w:t>
      </w:r>
      <w:r>
        <w:rPr>
          <w:rFonts w:hint="eastAsia" w:cs="宋体" w:asciiTheme="minorEastAsia" w:hAnsiTheme="minorEastAsia" w:eastAsiaTheme="minorEastAsia"/>
          <w:sz w:val="21"/>
          <w:szCs w:val="21"/>
          <w:lang w:eastAsia="zh-CN"/>
        </w:rPr>
        <w:t>法学</w:t>
      </w:r>
      <w:r>
        <w:rPr>
          <w:rFonts w:hint="eastAsia" w:cs="宋体" w:asciiTheme="minorEastAsia" w:hAnsiTheme="minorEastAsia" w:eastAsiaTheme="minorEastAsia"/>
          <w:sz w:val="21"/>
          <w:szCs w:val="21"/>
        </w:rPr>
        <w:t>辅修专业证书；</w:t>
      </w:r>
      <w:r>
        <w:rPr>
          <w:rFonts w:hint="eastAsia" w:cs="宋体" w:asciiTheme="minorEastAsia" w:hAnsiTheme="minorEastAsia" w:eastAsiaTheme="minorEastAsia"/>
          <w:sz w:val="21"/>
          <w:szCs w:val="21"/>
          <w:lang w:eastAsia="zh-CN"/>
        </w:rPr>
        <w:t>修读培养目标教学计划全部课程达</w:t>
      </w:r>
      <w:r>
        <w:rPr>
          <w:rFonts w:hint="eastAsia" w:cs="宋体" w:asciiTheme="minorEastAsia" w:hAnsiTheme="minorEastAsia" w:eastAsiaTheme="minorEastAsia"/>
          <w:sz w:val="21"/>
          <w:szCs w:val="21"/>
          <w:lang w:val="en-US" w:eastAsia="zh-CN"/>
        </w:rPr>
        <w:t>46学分（含毕业论文），</w:t>
      </w:r>
      <w:r>
        <w:rPr>
          <w:rFonts w:hint="eastAsia" w:cs="宋体" w:asciiTheme="minorEastAsia" w:hAnsiTheme="minorEastAsia" w:eastAsiaTheme="minorEastAsia"/>
          <w:sz w:val="21"/>
          <w:szCs w:val="21"/>
        </w:rPr>
        <w:t>符合学位授予条件，授予经济学专业辅修学士学位。</w:t>
      </w:r>
    </w:p>
    <w:p>
      <w:pPr>
        <w:wordWrap w:val="0"/>
        <w:spacing w:after="120" w:afterLines="50" w:line="360" w:lineRule="exact"/>
        <w:ind w:firstLine="420" w:firstLineChars="200"/>
        <w:rPr>
          <w:rFonts w:hint="eastAsia" w:asciiTheme="majorEastAsia" w:hAnsiTheme="majorEastAsia" w:eastAsiaTheme="majorEastAsia" w:cstheme="majorEastAsia"/>
          <w:sz w:val="21"/>
          <w:szCs w:val="21"/>
        </w:rPr>
      </w:pPr>
    </w:p>
    <w:p>
      <w:pPr>
        <w:adjustRightInd/>
        <w:snapToGrid/>
        <w:spacing w:after="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br w:type="page"/>
      </w:r>
    </w:p>
    <w:p>
      <w:pPr>
        <w:spacing w:before="240" w:beforeLines="100" w:after="0" w:line="360" w:lineRule="exact"/>
        <w:ind w:firstLine="482" w:firstLineChars="200"/>
        <w:rPr>
          <w:rFonts w:hint="eastAsia" w:cs="宋体" w:asciiTheme="majorEastAsia" w:hAnsiTheme="majorEastAsia" w:eastAsiaTheme="majorEastAsia"/>
          <w:b/>
          <w:bCs/>
          <w:sz w:val="24"/>
          <w:szCs w:val="24"/>
          <w:lang w:eastAsia="zh-CN"/>
        </w:rPr>
      </w:pPr>
      <w:r>
        <w:rPr>
          <w:rFonts w:hint="eastAsia" w:cs="宋体" w:asciiTheme="majorEastAsia" w:hAnsiTheme="majorEastAsia" w:eastAsiaTheme="majorEastAsia"/>
          <w:b/>
          <w:bCs/>
          <w:sz w:val="24"/>
          <w:szCs w:val="24"/>
          <w:lang w:eastAsia="zh-CN"/>
        </w:rPr>
        <w:t>七、课程教学修读计划表</w:t>
      </w:r>
    </w:p>
    <w:p>
      <w:pPr>
        <w:spacing w:before="240" w:beforeLines="100" w:after="0" w:line="360" w:lineRule="exact"/>
        <w:ind w:firstLine="420" w:firstLineChars="200"/>
        <w:rPr>
          <w:rFonts w:asciiTheme="minorEastAsia" w:hAnsiTheme="minorEastAsia" w:eastAsiaTheme="minorEastAsia" w:cstheme="minorEastAsia"/>
          <w:sz w:val="21"/>
          <w:szCs w:val="21"/>
        </w:rPr>
      </w:pPr>
    </w:p>
    <w:tbl>
      <w:tblPr>
        <w:tblStyle w:val="7"/>
        <w:tblW w:w="8687" w:type="dxa"/>
        <w:jc w:val="center"/>
        <w:tblLayout w:type="fixed"/>
        <w:tblCellMar>
          <w:top w:w="0" w:type="dxa"/>
          <w:left w:w="0" w:type="dxa"/>
          <w:bottom w:w="0" w:type="dxa"/>
          <w:right w:w="0" w:type="dxa"/>
        </w:tblCellMar>
      </w:tblPr>
      <w:tblGrid>
        <w:gridCol w:w="436"/>
        <w:gridCol w:w="65"/>
        <w:gridCol w:w="219"/>
        <w:gridCol w:w="65"/>
        <w:gridCol w:w="850"/>
        <w:gridCol w:w="77"/>
        <w:gridCol w:w="3119"/>
        <w:gridCol w:w="626"/>
        <w:gridCol w:w="705"/>
        <w:gridCol w:w="555"/>
        <w:gridCol w:w="675"/>
        <w:gridCol w:w="1295"/>
      </w:tblGrid>
      <w:tr>
        <w:tblPrEx>
          <w:tblCellMar>
            <w:top w:w="0" w:type="dxa"/>
            <w:left w:w="0" w:type="dxa"/>
            <w:bottom w:w="0" w:type="dxa"/>
            <w:right w:w="0" w:type="dxa"/>
          </w:tblCellMar>
        </w:tblPrEx>
        <w:trPr>
          <w:trHeight w:val="360" w:hRule="atLeast"/>
          <w:jc w:val="center"/>
        </w:trPr>
        <w:tc>
          <w:tcPr>
            <w:tcW w:w="7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宋体" w:hAnsi="宋体" w:eastAsia="宋体" w:cs="宋体"/>
                <w:sz w:val="18"/>
                <w:szCs w:val="18"/>
              </w:rPr>
              <w:t>类别及修读</w:t>
            </w:r>
          </w:p>
        </w:tc>
        <w:tc>
          <w:tcPr>
            <w:tcW w:w="9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宋体" w:hAnsi="宋体" w:eastAsia="宋体" w:cs="宋体"/>
                <w:sz w:val="18"/>
                <w:szCs w:val="18"/>
              </w:rPr>
              <w:t>课程代码</w:t>
            </w:r>
          </w:p>
        </w:tc>
        <w:tc>
          <w:tcPr>
            <w:tcW w:w="311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宋体" w:hAnsi="宋体" w:eastAsia="宋体" w:cs="宋体"/>
                <w:sz w:val="18"/>
                <w:szCs w:val="18"/>
              </w:rPr>
              <w:t>课程名称</w:t>
            </w: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sz w:val="18"/>
                <w:szCs w:val="18"/>
              </w:rPr>
            </w:pPr>
            <w:r>
              <w:rPr>
                <w:rFonts w:hint="eastAsia" w:ascii="宋体" w:hAnsi="宋体" w:eastAsia="宋体" w:cs="宋体"/>
                <w:sz w:val="18"/>
                <w:szCs w:val="18"/>
              </w:rPr>
              <w:t>学分</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hint="eastAsia" w:ascii="宋体" w:hAnsi="宋体" w:eastAsia="宋体" w:cs="宋体"/>
                <w:sz w:val="18"/>
                <w:szCs w:val="18"/>
              </w:rPr>
            </w:pPr>
            <w:r>
              <w:rPr>
                <w:rFonts w:hint="eastAsia" w:ascii="宋体" w:hAnsi="宋体" w:eastAsia="宋体" w:cs="宋体"/>
                <w:sz w:val="18"/>
                <w:szCs w:val="18"/>
              </w:rPr>
              <w:t>学</w:t>
            </w:r>
            <w:r>
              <w:rPr>
                <w:rStyle w:val="29"/>
                <w:rFonts w:eastAsia="宋体"/>
                <w:color w:val="auto"/>
              </w:rPr>
              <w:t xml:space="preserve">  </w:t>
            </w:r>
            <w:r>
              <w:rPr>
                <w:rFonts w:hint="eastAsia" w:ascii="宋体" w:hAnsi="宋体" w:eastAsia="宋体" w:cs="宋体"/>
                <w:sz w:val="18"/>
                <w:szCs w:val="18"/>
              </w:rPr>
              <w:t>时</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hint="eastAsia" w:ascii="宋体" w:hAnsi="宋体" w:eastAsia="宋体" w:cs="宋体"/>
                <w:sz w:val="18"/>
                <w:szCs w:val="18"/>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hint="eastAsia" w:ascii="宋体" w:hAnsi="宋体" w:eastAsia="宋体" w:cs="宋体"/>
                <w:sz w:val="18"/>
                <w:szCs w:val="18"/>
              </w:rPr>
            </w:pPr>
          </w:p>
        </w:tc>
        <w:tc>
          <w:tcPr>
            <w:tcW w:w="129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开课学期</w:t>
            </w:r>
          </w:p>
        </w:tc>
      </w:tr>
      <w:tr>
        <w:tblPrEx>
          <w:tblCellMar>
            <w:top w:w="0" w:type="dxa"/>
            <w:left w:w="0" w:type="dxa"/>
            <w:bottom w:w="0" w:type="dxa"/>
            <w:right w:w="0" w:type="dxa"/>
          </w:tblCellMar>
        </w:tblPrEx>
        <w:trPr>
          <w:trHeight w:val="745" w:hRule="atLeast"/>
          <w:jc w:val="center"/>
        </w:trPr>
        <w:tc>
          <w:tcPr>
            <w:tcW w:w="7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9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311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宋体" w:hAnsi="宋体" w:eastAsia="宋体" w:cs="宋体"/>
                <w:sz w:val="18"/>
                <w:szCs w:val="18"/>
              </w:rPr>
              <w:t>总计</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宋体" w:hAnsi="宋体" w:eastAsia="宋体" w:cs="宋体"/>
                <w:sz w:val="18"/>
                <w:szCs w:val="18"/>
              </w:rPr>
              <w:t>讲授</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宋体" w:hAnsi="宋体" w:eastAsia="宋体" w:cs="宋体"/>
                <w:sz w:val="18"/>
                <w:szCs w:val="18"/>
              </w:rPr>
              <w:t>实验</w:t>
            </w:r>
          </w:p>
        </w:tc>
        <w:tc>
          <w:tcPr>
            <w:tcW w:w="129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hint="eastAsia" w:ascii="宋体" w:hAnsi="宋体" w:eastAsia="宋体" w:cs="宋体"/>
                <w:sz w:val="18"/>
                <w:szCs w:val="18"/>
                <w:lang w:eastAsia="zh-CN"/>
              </w:rPr>
            </w:pPr>
          </w:p>
        </w:tc>
      </w:tr>
      <w:tr>
        <w:tblPrEx>
          <w:tblCellMar>
            <w:top w:w="0" w:type="dxa"/>
            <w:left w:w="0" w:type="dxa"/>
            <w:bottom w:w="0" w:type="dxa"/>
            <w:right w:w="0" w:type="dxa"/>
          </w:tblCellMar>
        </w:tblPrEx>
        <w:trPr>
          <w:trHeight w:val="482" w:hRule="atLeast"/>
          <w:jc w:val="center"/>
        </w:trPr>
        <w:tc>
          <w:tcPr>
            <w:tcW w:w="43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宋体" w:hAnsi="宋体" w:eastAsia="宋体" w:cs="宋体"/>
                <w:sz w:val="18"/>
                <w:szCs w:val="18"/>
              </w:rPr>
            </w:pPr>
            <w:r>
              <w:rPr>
                <w:rFonts w:hint="eastAsia" w:ascii="宋体" w:hAnsi="宋体" w:eastAsia="宋体" w:cs="宋体"/>
                <w:sz w:val="18"/>
                <w:szCs w:val="18"/>
              </w:rPr>
              <w:t>学</w:t>
            </w:r>
          </w:p>
          <w:p>
            <w:pPr>
              <w:spacing w:after="0"/>
              <w:jc w:val="center"/>
              <w:textAlignment w:val="center"/>
              <w:rPr>
                <w:rFonts w:ascii="宋体" w:hAnsi="宋体" w:eastAsia="宋体" w:cs="宋体"/>
                <w:sz w:val="18"/>
                <w:szCs w:val="18"/>
              </w:rPr>
            </w:pPr>
            <w:r>
              <w:rPr>
                <w:rFonts w:hint="eastAsia" w:ascii="宋体" w:hAnsi="宋体" w:eastAsia="宋体" w:cs="宋体"/>
                <w:sz w:val="18"/>
                <w:szCs w:val="18"/>
              </w:rPr>
              <w:t>科</w:t>
            </w:r>
          </w:p>
          <w:p>
            <w:pPr>
              <w:spacing w:after="0"/>
              <w:jc w:val="center"/>
              <w:textAlignment w:val="center"/>
              <w:rPr>
                <w:rFonts w:ascii="宋体" w:hAnsi="宋体" w:eastAsia="宋体" w:cs="宋体"/>
                <w:sz w:val="18"/>
                <w:szCs w:val="18"/>
              </w:rPr>
            </w:pPr>
            <w:r>
              <w:rPr>
                <w:rFonts w:hint="eastAsia" w:ascii="宋体" w:hAnsi="宋体" w:eastAsia="宋体" w:cs="宋体"/>
                <w:sz w:val="18"/>
                <w:szCs w:val="18"/>
              </w:rPr>
              <w:t>基</w:t>
            </w:r>
          </w:p>
          <w:p>
            <w:pPr>
              <w:spacing w:after="0"/>
              <w:jc w:val="center"/>
              <w:textAlignment w:val="center"/>
              <w:rPr>
                <w:rFonts w:ascii="宋体" w:hAnsi="宋体" w:eastAsia="宋体" w:cs="宋体"/>
                <w:sz w:val="18"/>
                <w:szCs w:val="18"/>
              </w:rPr>
            </w:pPr>
            <w:r>
              <w:rPr>
                <w:rFonts w:hint="eastAsia" w:ascii="宋体" w:hAnsi="宋体" w:eastAsia="宋体" w:cs="宋体"/>
                <w:sz w:val="18"/>
                <w:szCs w:val="18"/>
              </w:rPr>
              <w:t>础</w:t>
            </w:r>
          </w:p>
          <w:p>
            <w:pPr>
              <w:spacing w:after="0"/>
              <w:jc w:val="center"/>
              <w:textAlignment w:val="center"/>
              <w:rPr>
                <w:rFonts w:ascii="宋体" w:hAnsi="宋体" w:eastAsia="宋体" w:cs="宋体"/>
                <w:sz w:val="18"/>
                <w:szCs w:val="18"/>
              </w:rPr>
            </w:pPr>
            <w:r>
              <w:rPr>
                <w:rFonts w:hint="eastAsia" w:ascii="宋体" w:hAnsi="宋体" w:eastAsia="宋体" w:cs="宋体"/>
                <w:sz w:val="18"/>
                <w:szCs w:val="18"/>
              </w:rPr>
              <w:t>课</w:t>
            </w:r>
          </w:p>
          <w:p>
            <w:pPr>
              <w:spacing w:after="0"/>
              <w:jc w:val="center"/>
              <w:textAlignment w:val="center"/>
              <w:rPr>
                <w:rFonts w:ascii="宋体" w:hAnsi="宋体" w:eastAsia="宋体" w:cs="宋体"/>
                <w:sz w:val="18"/>
                <w:szCs w:val="18"/>
              </w:rPr>
            </w:pPr>
            <w:r>
              <w:rPr>
                <w:rFonts w:hint="eastAsia" w:ascii="宋体" w:hAnsi="宋体" w:eastAsia="宋体" w:cs="宋体"/>
                <w:sz w:val="18"/>
                <w:szCs w:val="18"/>
              </w:rPr>
              <w:t>程</w:t>
            </w:r>
          </w:p>
        </w:tc>
        <w:tc>
          <w:tcPr>
            <w:tcW w:w="284" w:type="dxa"/>
            <w:gridSpan w:val="2"/>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textAlignment w:val="center"/>
              <w:rPr>
                <w:rFonts w:hint="eastAsia" w:ascii="Times New Roman" w:hAnsi="Times New Roman" w:eastAsia="宋体" w:cs="Times New Roman"/>
                <w:sz w:val="18"/>
                <w:szCs w:val="18"/>
              </w:rPr>
            </w:pPr>
            <w:r>
              <w:rPr>
                <w:rFonts w:ascii="Times New Roman" w:hAnsi="Times New Roman" w:eastAsia="宋体" w:cs="Times New Roman"/>
                <w:sz w:val="18"/>
                <w:szCs w:val="18"/>
              </w:rPr>
              <w:t>必修</w:t>
            </w: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410101063</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Style w:val="30"/>
                <w:rFonts w:hint="default" w:cs="Times New Roman" w:asciiTheme="minorEastAsia" w:hAnsiTheme="minorEastAsia" w:eastAsiaTheme="minorEastAsia"/>
                <w:color w:val="auto"/>
              </w:rPr>
            </w:pPr>
            <w:r>
              <w:rPr>
                <w:rStyle w:val="30"/>
                <w:rFonts w:hint="default" w:cs="Times New Roman" w:asciiTheme="minorEastAsia" w:hAnsiTheme="minorEastAsia" w:eastAsiaTheme="minorEastAsia"/>
                <w:color w:val="auto"/>
              </w:rPr>
              <w:t>微观经济学</w:t>
            </w:r>
          </w:p>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Microeconomics</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2024春</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sz w:val="18"/>
                <w:szCs w:val="18"/>
              </w:rPr>
            </w:pPr>
          </w:p>
        </w:tc>
        <w:tc>
          <w:tcPr>
            <w:tcW w:w="284"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textAlignment w:val="center"/>
              <w:rPr>
                <w:rFonts w:ascii="Times New Roman" w:hAnsi="Times New Roman" w:eastAsia="宋体" w:cs="Times New Roman"/>
                <w:sz w:val="18"/>
                <w:szCs w:val="18"/>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410101096</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Style w:val="30"/>
                <w:rFonts w:hint="default" w:cs="Times New Roman" w:asciiTheme="minorEastAsia" w:hAnsiTheme="minorEastAsia" w:eastAsiaTheme="minorEastAsia"/>
                <w:color w:val="auto"/>
              </w:rPr>
            </w:pPr>
            <w:r>
              <w:rPr>
                <w:rStyle w:val="30"/>
                <w:rFonts w:hint="default" w:cs="Times New Roman" w:asciiTheme="minorEastAsia" w:hAnsiTheme="minorEastAsia" w:eastAsiaTheme="minorEastAsia"/>
                <w:color w:val="auto"/>
              </w:rPr>
              <w:t>统计学</w:t>
            </w:r>
          </w:p>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Statistics</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2024春</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sz w:val="18"/>
                <w:szCs w:val="18"/>
              </w:rPr>
            </w:pPr>
          </w:p>
        </w:tc>
        <w:tc>
          <w:tcPr>
            <w:tcW w:w="284"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textAlignment w:val="center"/>
              <w:rPr>
                <w:rFonts w:ascii="Times New Roman" w:hAnsi="Times New Roman" w:eastAsia="宋体" w:cs="Times New Roman"/>
                <w:sz w:val="18"/>
                <w:szCs w:val="18"/>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410101034</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Style w:val="30"/>
                <w:rFonts w:hint="default" w:cs="Times New Roman" w:asciiTheme="minorEastAsia" w:hAnsiTheme="minorEastAsia" w:eastAsiaTheme="minorEastAsia"/>
                <w:color w:val="auto"/>
              </w:rPr>
            </w:pPr>
            <w:r>
              <w:rPr>
                <w:rStyle w:val="30"/>
                <w:rFonts w:hint="default" w:cs="Times New Roman" w:asciiTheme="minorEastAsia" w:hAnsiTheme="minorEastAsia" w:eastAsiaTheme="minorEastAsia"/>
                <w:color w:val="auto"/>
              </w:rPr>
              <w:t>宏观经济学</w:t>
            </w:r>
          </w:p>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Macroeconomics</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2024春</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sz w:val="18"/>
                <w:szCs w:val="18"/>
              </w:rPr>
            </w:pPr>
          </w:p>
        </w:tc>
        <w:tc>
          <w:tcPr>
            <w:tcW w:w="284"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textAlignment w:val="center"/>
              <w:rPr>
                <w:rFonts w:ascii="Times New Roman" w:hAnsi="Times New Roman" w:eastAsia="宋体" w:cs="Times New Roman"/>
                <w:sz w:val="18"/>
                <w:szCs w:val="18"/>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410101043</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Style w:val="30"/>
                <w:rFonts w:hint="default" w:cs="Times New Roman" w:asciiTheme="minorEastAsia" w:hAnsiTheme="minorEastAsia" w:eastAsiaTheme="minorEastAsia"/>
                <w:color w:val="auto"/>
              </w:rPr>
            </w:pPr>
            <w:r>
              <w:rPr>
                <w:rStyle w:val="30"/>
                <w:rFonts w:hint="default" w:cs="Times New Roman" w:asciiTheme="minorEastAsia" w:hAnsiTheme="minorEastAsia" w:eastAsiaTheme="minorEastAsia"/>
                <w:color w:val="auto"/>
              </w:rPr>
              <w:t>金融学</w:t>
            </w:r>
          </w:p>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Finance</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2024秋</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sz w:val="18"/>
                <w:szCs w:val="18"/>
              </w:rPr>
            </w:pPr>
          </w:p>
        </w:tc>
        <w:tc>
          <w:tcPr>
            <w:tcW w:w="284"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textAlignment w:val="center"/>
              <w:rPr>
                <w:rFonts w:ascii="Times New Roman" w:hAnsi="Times New Roman" w:eastAsia="宋体" w:cs="Times New Roman"/>
                <w:sz w:val="18"/>
                <w:szCs w:val="18"/>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410103008</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Style w:val="30"/>
                <w:rFonts w:hint="default" w:cs="Times New Roman" w:asciiTheme="minorEastAsia" w:hAnsiTheme="minorEastAsia" w:eastAsiaTheme="minorEastAsia"/>
                <w:color w:val="auto"/>
              </w:rPr>
            </w:pPr>
            <w:r>
              <w:rPr>
                <w:rStyle w:val="30"/>
                <w:rFonts w:hint="default" w:cs="Times New Roman" w:asciiTheme="minorEastAsia" w:hAnsiTheme="minorEastAsia" w:eastAsiaTheme="minorEastAsia"/>
                <w:color w:val="auto"/>
              </w:rPr>
              <w:t>初级会计学</w:t>
            </w:r>
          </w:p>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Primary Accounting</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44</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2024秋</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sz w:val="18"/>
                <w:szCs w:val="18"/>
              </w:rPr>
            </w:pPr>
          </w:p>
        </w:tc>
        <w:tc>
          <w:tcPr>
            <w:tcW w:w="284"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textAlignment w:val="center"/>
              <w:rPr>
                <w:rFonts w:ascii="Times New Roman" w:hAnsi="Times New Roman" w:eastAsia="宋体" w:cs="Times New Roman"/>
                <w:sz w:val="18"/>
                <w:szCs w:val="18"/>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410101077</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Style w:val="30"/>
                <w:rFonts w:hint="default" w:cs="Times New Roman" w:asciiTheme="minorEastAsia" w:hAnsiTheme="minorEastAsia" w:eastAsiaTheme="minorEastAsia"/>
                <w:color w:val="auto"/>
              </w:rPr>
            </w:pPr>
            <w:r>
              <w:rPr>
                <w:rStyle w:val="30"/>
                <w:rFonts w:hint="default" w:cs="Times New Roman" w:asciiTheme="minorEastAsia" w:hAnsiTheme="minorEastAsia" w:eastAsiaTheme="minorEastAsia"/>
                <w:color w:val="auto"/>
              </w:rPr>
              <w:t>计量经济学</w:t>
            </w:r>
          </w:p>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Econometrics</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2024秋</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rPr>
                <w:rFonts w:hint="eastAsia" w:ascii="宋体" w:hAnsi="宋体" w:eastAsia="宋体" w:cs="宋体"/>
                <w:sz w:val="18"/>
                <w:szCs w:val="18"/>
              </w:rPr>
            </w:pPr>
          </w:p>
        </w:tc>
        <w:tc>
          <w:tcPr>
            <w:tcW w:w="284" w:type="dxa"/>
            <w:gridSpan w:val="2"/>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textAlignment w:val="center"/>
              <w:rPr>
                <w:rFonts w:ascii="Times New Roman" w:hAnsi="Times New Roman" w:eastAsia="宋体" w:cs="Times New Roman"/>
                <w:sz w:val="18"/>
                <w:szCs w:val="18"/>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410101008</w:t>
            </w:r>
          </w:p>
        </w:tc>
        <w:tc>
          <w:tcPr>
            <w:tcW w:w="3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Style w:val="30"/>
                <w:rFonts w:hint="default" w:cs="Times New Roman" w:asciiTheme="minorEastAsia" w:hAnsiTheme="minorEastAsia" w:eastAsiaTheme="minorEastAsia"/>
                <w:color w:val="auto"/>
              </w:rPr>
            </w:pPr>
            <w:r>
              <w:rPr>
                <w:rStyle w:val="30"/>
                <w:rFonts w:hint="default" w:cs="Times New Roman" w:asciiTheme="minorEastAsia" w:hAnsiTheme="minorEastAsia" w:eastAsiaTheme="minorEastAsia"/>
                <w:color w:val="auto"/>
              </w:rPr>
              <w:t>财政学</w:t>
            </w:r>
          </w:p>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Public Finance</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2024秋</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宋体" w:hAnsi="宋体" w:eastAsia="宋体" w:cs="宋体"/>
                <w:sz w:val="18"/>
                <w:szCs w:val="18"/>
              </w:rPr>
            </w:pPr>
          </w:p>
        </w:tc>
        <w:tc>
          <w:tcPr>
            <w:tcW w:w="43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小计</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9.5</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12</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r>
      <w:tr>
        <w:tblPrEx>
          <w:tblCellMar>
            <w:top w:w="0" w:type="dxa"/>
            <w:left w:w="0" w:type="dxa"/>
            <w:bottom w:w="0" w:type="dxa"/>
            <w:right w:w="0" w:type="dxa"/>
          </w:tblCellMar>
        </w:tblPrEx>
        <w:trPr>
          <w:trHeight w:val="482" w:hRule="atLeast"/>
          <w:jc w:val="center"/>
        </w:trPr>
        <w:tc>
          <w:tcPr>
            <w:tcW w:w="436"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专</w:t>
            </w:r>
          </w:p>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业</w:t>
            </w:r>
          </w:p>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课</w:t>
            </w:r>
          </w:p>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程</w:t>
            </w:r>
          </w:p>
        </w:tc>
        <w:tc>
          <w:tcPr>
            <w:tcW w:w="284" w:type="dxa"/>
            <w:gridSpan w:val="2"/>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hint="eastAsia" w:ascii="Times New Roman" w:hAnsi="Times New Roman" w:eastAsia="宋体" w:cs="Times New Roman"/>
                <w:sz w:val="18"/>
                <w:szCs w:val="18"/>
              </w:rPr>
            </w:pPr>
            <w:r>
              <w:rPr>
                <w:rFonts w:ascii="Times New Roman" w:hAnsi="Times New Roman" w:eastAsia="宋体" w:cs="Times New Roman"/>
                <w:sz w:val="18"/>
                <w:szCs w:val="18"/>
              </w:rPr>
              <w:t>必修</w:t>
            </w:r>
          </w:p>
        </w:tc>
        <w:tc>
          <w:tcPr>
            <w:tcW w:w="99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410101083</w:t>
            </w:r>
          </w:p>
        </w:tc>
        <w:tc>
          <w:tcPr>
            <w:tcW w:w="311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Lines/>
              <w:spacing w:after="0"/>
              <w:ind w:firstLine="66" w:firstLineChars="37"/>
              <w:jc w:val="center"/>
              <w:rPr>
                <w:rFonts w:ascii="Times New Roman" w:hAnsi="Times New Roman" w:eastAsia="宋体" w:cs="Times New Roman"/>
                <w:sz w:val="18"/>
                <w:szCs w:val="18"/>
              </w:rPr>
            </w:pPr>
            <w:r>
              <w:rPr>
                <w:rFonts w:ascii="Times New Roman" w:hAnsi="Times New Roman" w:eastAsia="宋体" w:cs="Times New Roman"/>
                <w:sz w:val="18"/>
                <w:szCs w:val="18"/>
              </w:rPr>
              <w:t>投资学原理</w:t>
            </w:r>
          </w:p>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Theory of Investment</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12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2025春</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284" w:type="dxa"/>
            <w:gridSpan w:val="2"/>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992" w:type="dxa"/>
            <w:gridSpan w:val="3"/>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410101084</w:t>
            </w:r>
          </w:p>
        </w:tc>
        <w:tc>
          <w:tcPr>
            <w:tcW w:w="3119"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Lines/>
              <w:spacing w:after="0"/>
              <w:ind w:firstLine="66" w:firstLineChars="37"/>
              <w:jc w:val="center"/>
              <w:rPr>
                <w:rFonts w:ascii="Times New Roman" w:hAnsi="Times New Roman" w:eastAsia="宋体" w:cs="Times New Roman"/>
                <w:sz w:val="18"/>
                <w:szCs w:val="18"/>
              </w:rPr>
            </w:pPr>
            <w:r>
              <w:rPr>
                <w:rFonts w:ascii="Times New Roman" w:hAnsi="Times New Roman" w:eastAsia="宋体" w:cs="Times New Roman"/>
                <w:sz w:val="18"/>
                <w:szCs w:val="18"/>
              </w:rPr>
              <w:t>证券投资学</w:t>
            </w:r>
          </w:p>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Securities Investment</w:t>
            </w:r>
          </w:p>
        </w:tc>
        <w:tc>
          <w:tcPr>
            <w:tcW w:w="626"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12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2025春</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284" w:type="dxa"/>
            <w:gridSpan w:val="2"/>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992" w:type="dxa"/>
            <w:gridSpan w:val="3"/>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10101085</w:t>
            </w:r>
          </w:p>
        </w:tc>
        <w:tc>
          <w:tcPr>
            <w:tcW w:w="3119"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Lines/>
              <w:spacing w:after="0"/>
              <w:ind w:firstLine="66" w:firstLineChars="37"/>
              <w:jc w:val="center"/>
              <w:rPr>
                <w:rFonts w:ascii="Times New Roman" w:hAnsi="Times New Roman" w:eastAsia="宋体" w:cs="Times New Roman"/>
                <w:sz w:val="18"/>
                <w:szCs w:val="18"/>
              </w:rPr>
            </w:pPr>
            <w:r>
              <w:rPr>
                <w:rFonts w:ascii="Times New Roman" w:hAnsi="Times New Roman" w:eastAsia="宋体" w:cs="Times New Roman"/>
                <w:sz w:val="18"/>
                <w:szCs w:val="18"/>
              </w:rPr>
              <w:t>商业银行经营管理</w:t>
            </w:r>
          </w:p>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Commercial Bank Operations and Management</w:t>
            </w:r>
          </w:p>
        </w:tc>
        <w:tc>
          <w:tcPr>
            <w:tcW w:w="626"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12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2025春</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284" w:type="dxa"/>
            <w:gridSpan w:val="2"/>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992" w:type="dxa"/>
            <w:gridSpan w:val="3"/>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410101013</w:t>
            </w:r>
          </w:p>
        </w:tc>
        <w:tc>
          <w:tcPr>
            <w:tcW w:w="3119"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Lines/>
              <w:spacing w:after="0"/>
              <w:ind w:firstLine="66" w:firstLineChars="37"/>
              <w:jc w:val="center"/>
              <w:rPr>
                <w:rFonts w:ascii="Times New Roman" w:hAnsi="Times New Roman" w:eastAsia="宋体" w:cs="Times New Roman"/>
                <w:sz w:val="18"/>
                <w:szCs w:val="18"/>
              </w:rPr>
            </w:pPr>
            <w:r>
              <w:rPr>
                <w:rFonts w:ascii="Times New Roman" w:hAnsi="Times New Roman" w:eastAsia="宋体" w:cs="Times New Roman"/>
                <w:sz w:val="18"/>
                <w:szCs w:val="18"/>
              </w:rPr>
              <w:t>公司金融</w:t>
            </w:r>
          </w:p>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Corporate Finance</w:t>
            </w:r>
          </w:p>
        </w:tc>
        <w:tc>
          <w:tcPr>
            <w:tcW w:w="626"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12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2025春</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284" w:type="dxa"/>
            <w:gridSpan w:val="2"/>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992" w:type="dxa"/>
            <w:gridSpan w:val="3"/>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410101094</w:t>
            </w:r>
          </w:p>
        </w:tc>
        <w:tc>
          <w:tcPr>
            <w:tcW w:w="3119"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Lines/>
              <w:spacing w:after="0"/>
              <w:ind w:firstLine="66" w:firstLineChars="37"/>
              <w:jc w:val="center"/>
              <w:rPr>
                <w:rFonts w:ascii="Times New Roman" w:hAnsi="Times New Roman" w:eastAsia="宋体" w:cs="Times New Roman"/>
                <w:sz w:val="18"/>
                <w:szCs w:val="18"/>
              </w:rPr>
            </w:pPr>
            <w:r>
              <w:rPr>
                <w:rFonts w:ascii="Times New Roman" w:hAnsi="Times New Roman" w:eastAsia="宋体" w:cs="Times New Roman"/>
                <w:sz w:val="18"/>
                <w:szCs w:val="18"/>
              </w:rPr>
              <w:t>金融风险管理</w:t>
            </w:r>
          </w:p>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Financial Risk Management</w:t>
            </w:r>
          </w:p>
        </w:tc>
        <w:tc>
          <w:tcPr>
            <w:tcW w:w="626"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12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2025秋</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284" w:type="dxa"/>
            <w:gridSpan w:val="2"/>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992" w:type="dxa"/>
            <w:gridSpan w:val="3"/>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410101020</w:t>
            </w:r>
          </w:p>
        </w:tc>
        <w:tc>
          <w:tcPr>
            <w:tcW w:w="3119"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Lines/>
              <w:spacing w:after="0"/>
              <w:ind w:firstLine="66" w:firstLineChars="37"/>
              <w:jc w:val="center"/>
              <w:rPr>
                <w:rFonts w:ascii="Times New Roman" w:hAnsi="Times New Roman" w:eastAsia="宋体" w:cs="Times New Roman"/>
                <w:sz w:val="18"/>
                <w:szCs w:val="18"/>
              </w:rPr>
            </w:pPr>
            <w:r>
              <w:rPr>
                <w:rFonts w:ascii="Times New Roman" w:hAnsi="Times New Roman" w:eastAsia="宋体" w:cs="Times New Roman"/>
                <w:sz w:val="18"/>
                <w:szCs w:val="18"/>
              </w:rPr>
              <w:t>国际金融</w:t>
            </w:r>
          </w:p>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International Finance</w:t>
            </w:r>
          </w:p>
        </w:tc>
        <w:tc>
          <w:tcPr>
            <w:tcW w:w="626"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12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2025秋</w:t>
            </w:r>
          </w:p>
        </w:tc>
      </w:tr>
      <w:tr>
        <w:tblPrEx>
          <w:tblCellMar>
            <w:top w:w="0" w:type="dxa"/>
            <w:left w:w="0" w:type="dxa"/>
            <w:bottom w:w="0" w:type="dxa"/>
            <w:right w:w="0" w:type="dxa"/>
          </w:tblCellMar>
        </w:tblPrEx>
        <w:trPr>
          <w:trHeight w:val="482" w:hRule="atLeast"/>
          <w:jc w:val="center"/>
        </w:trPr>
        <w:tc>
          <w:tcPr>
            <w:tcW w:w="436"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284" w:type="dxa"/>
            <w:gridSpan w:val="2"/>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992" w:type="dxa"/>
            <w:gridSpan w:val="3"/>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410101060</w:t>
            </w:r>
          </w:p>
        </w:tc>
        <w:tc>
          <w:tcPr>
            <w:tcW w:w="3119"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keepLines/>
              <w:spacing w:after="0"/>
              <w:ind w:firstLine="66" w:firstLineChars="37"/>
              <w:jc w:val="center"/>
              <w:rPr>
                <w:rFonts w:ascii="Times New Roman" w:hAnsi="Times New Roman" w:eastAsia="宋体" w:cs="Times New Roman"/>
                <w:sz w:val="18"/>
                <w:szCs w:val="18"/>
              </w:rPr>
            </w:pPr>
            <w:r>
              <w:rPr>
                <w:rFonts w:ascii="Times New Roman" w:hAnsi="Times New Roman" w:eastAsia="宋体" w:cs="Times New Roman"/>
                <w:sz w:val="18"/>
                <w:szCs w:val="18"/>
              </w:rPr>
              <w:t>投资银行学</w:t>
            </w:r>
          </w:p>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Investment Banking</w:t>
            </w:r>
          </w:p>
        </w:tc>
        <w:tc>
          <w:tcPr>
            <w:tcW w:w="626" w:type="dxa"/>
            <w:tcBorders>
              <w:top w:val="single" w:color="auto" w:sz="4" w:space="0"/>
              <w:left w:val="single" w:color="auto" w:sz="4" w:space="0"/>
              <w:bottom w:val="single" w:color="auto" w:sz="4" w:space="0"/>
              <w:right w:val="single" w:color="auto" w:sz="4" w:space="0"/>
              <w:tl2br w:val="nil"/>
              <w:tr2bl w:val="nil"/>
            </w:tcBorders>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7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p>
        </w:tc>
        <w:tc>
          <w:tcPr>
            <w:tcW w:w="12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2025秋</w:t>
            </w:r>
          </w:p>
        </w:tc>
      </w:tr>
      <w:tr>
        <w:tblPrEx>
          <w:tblCellMar>
            <w:top w:w="0" w:type="dxa"/>
            <w:left w:w="0" w:type="dxa"/>
            <w:bottom w:w="0" w:type="dxa"/>
            <w:right w:w="0" w:type="dxa"/>
          </w:tblCellMar>
        </w:tblPrEx>
        <w:trPr>
          <w:trHeight w:val="482" w:hRule="atLeast"/>
          <w:jc w:val="center"/>
        </w:trPr>
        <w:tc>
          <w:tcPr>
            <w:tcW w:w="4831" w:type="dxa"/>
            <w:gridSpan w:val="7"/>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hint="eastAsia" w:ascii="Times New Roman" w:hAnsi="Times New Roman" w:eastAsia="宋体" w:cs="Times New Roman"/>
                <w:sz w:val="18"/>
                <w:szCs w:val="18"/>
              </w:rPr>
              <w:t>小计</w:t>
            </w:r>
          </w:p>
        </w:tc>
        <w:tc>
          <w:tcPr>
            <w:tcW w:w="6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adjustRightInd/>
              <w:snapToGrid/>
              <w:spacing w:after="0"/>
              <w:jc w:val="center"/>
              <w:rPr>
                <w:rFonts w:ascii="Times New Roman" w:hAnsi="Times New Roman" w:eastAsia="等线" w:cs="Times New Roman"/>
                <w:sz w:val="18"/>
                <w:szCs w:val="18"/>
              </w:rPr>
            </w:pPr>
            <w:r>
              <w:rPr>
                <w:rFonts w:hint="eastAsia" w:ascii="Times New Roman" w:hAnsi="Times New Roman" w:eastAsia="等线" w:cs="Times New Roman"/>
                <w:sz w:val="18"/>
                <w:szCs w:val="18"/>
              </w:rPr>
              <w:t>1</w:t>
            </w:r>
            <w:r>
              <w:rPr>
                <w:rFonts w:ascii="Times New Roman" w:hAnsi="Times New Roman" w:eastAsia="等线" w:cs="Times New Roman"/>
                <w:sz w:val="18"/>
                <w:szCs w:val="18"/>
              </w:rPr>
              <w:t>8.5</w:t>
            </w:r>
          </w:p>
        </w:tc>
        <w:tc>
          <w:tcPr>
            <w:tcW w:w="705"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等线" w:cs="Times New Roman"/>
                <w:sz w:val="18"/>
                <w:szCs w:val="18"/>
              </w:rPr>
            </w:pPr>
            <w:r>
              <w:rPr>
                <w:rFonts w:hint="eastAsia" w:ascii="Times New Roman" w:hAnsi="Times New Roman" w:eastAsia="等线" w:cs="Times New Roman"/>
                <w:sz w:val="18"/>
                <w:szCs w:val="18"/>
              </w:rPr>
              <w:t>2</w:t>
            </w:r>
            <w:r>
              <w:rPr>
                <w:rFonts w:ascii="Times New Roman" w:hAnsi="Times New Roman" w:eastAsia="等线" w:cs="Times New Roman"/>
                <w:sz w:val="18"/>
                <w:szCs w:val="18"/>
              </w:rPr>
              <w:t>96</w:t>
            </w:r>
          </w:p>
        </w:tc>
        <w:tc>
          <w:tcPr>
            <w:tcW w:w="555"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等线" w:cs="Times New Roman"/>
                <w:sz w:val="18"/>
                <w:szCs w:val="18"/>
              </w:rPr>
            </w:pPr>
            <w:r>
              <w:rPr>
                <w:rFonts w:hint="eastAsia" w:ascii="Times New Roman" w:hAnsi="Times New Roman" w:eastAsia="等线" w:cs="Times New Roman"/>
                <w:sz w:val="18"/>
                <w:szCs w:val="18"/>
              </w:rPr>
              <w:t>2</w:t>
            </w:r>
            <w:r>
              <w:rPr>
                <w:rFonts w:ascii="Times New Roman" w:hAnsi="Times New Roman" w:eastAsia="等线" w:cs="Times New Roman"/>
                <w:sz w:val="18"/>
                <w:szCs w:val="18"/>
              </w:rPr>
              <w:t>88</w:t>
            </w:r>
          </w:p>
        </w:tc>
        <w:tc>
          <w:tcPr>
            <w:tcW w:w="675"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Times New Roman" w:hAnsi="Times New Roman" w:eastAsia="等线" w:cs="Times New Roman"/>
                <w:sz w:val="18"/>
                <w:szCs w:val="18"/>
              </w:rPr>
            </w:pPr>
            <w:r>
              <w:rPr>
                <w:rFonts w:hint="eastAsia" w:ascii="Times New Roman" w:hAnsi="Times New Roman" w:eastAsia="等线" w:cs="Times New Roman"/>
                <w:sz w:val="18"/>
                <w:szCs w:val="18"/>
              </w:rPr>
              <w:t>8</w:t>
            </w:r>
          </w:p>
        </w:tc>
        <w:tc>
          <w:tcPr>
            <w:tcW w:w="12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r>
      <w:tr>
        <w:tblPrEx>
          <w:tblCellMar>
            <w:top w:w="0" w:type="dxa"/>
            <w:left w:w="0" w:type="dxa"/>
            <w:bottom w:w="0" w:type="dxa"/>
            <w:right w:w="0" w:type="dxa"/>
          </w:tblCellMar>
        </w:tblPrEx>
        <w:trPr>
          <w:trHeight w:val="482" w:hRule="atLeast"/>
          <w:jc w:val="center"/>
        </w:trPr>
        <w:tc>
          <w:tcPr>
            <w:tcW w:w="501"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实践环节</w:t>
            </w:r>
          </w:p>
        </w:tc>
        <w:tc>
          <w:tcPr>
            <w:tcW w:w="284"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spacing w:after="0"/>
              <w:jc w:val="center"/>
              <w:textAlignment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必修</w:t>
            </w:r>
          </w:p>
        </w:tc>
        <w:tc>
          <w:tcPr>
            <w:tcW w:w="850"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400101034</w:t>
            </w:r>
          </w:p>
        </w:tc>
        <w:tc>
          <w:tcPr>
            <w:tcW w:w="319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毕业论文</w:t>
            </w:r>
          </w:p>
          <w:p>
            <w:pPr>
              <w:spacing w:after="0"/>
              <w:jc w:val="center"/>
              <w:textAlignment w:val="center"/>
              <w:rPr>
                <w:rFonts w:hint="eastAsia" w:ascii="Times New Roman" w:hAnsi="Times New Roman" w:eastAsia="宋体" w:cs="Times New Roman"/>
                <w:sz w:val="18"/>
                <w:szCs w:val="18"/>
              </w:rPr>
            </w:pPr>
            <w:r>
              <w:rPr>
                <w:rFonts w:ascii="Times New Roman" w:hAnsi="Times New Roman" w:eastAsia="宋体" w:cs="Times New Roman"/>
                <w:sz w:val="18"/>
                <w:szCs w:val="18"/>
              </w:rPr>
              <w:t>Graduation Thesis</w:t>
            </w:r>
          </w:p>
        </w:tc>
        <w:tc>
          <w:tcPr>
            <w:tcW w:w="6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70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rPr>
              <w:t>14周</w:t>
            </w:r>
          </w:p>
        </w:tc>
        <w:tc>
          <w:tcPr>
            <w:tcW w:w="55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Times New Roman" w:hAnsi="Times New Roman" w:eastAsia="宋体" w:cs="Times New Roman"/>
                <w:sz w:val="18"/>
                <w:szCs w:val="18"/>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hint="default" w:ascii="Times New Roman" w:hAnsi="Times New Roman" w:eastAsia="宋体" w:cs="Times New Roman"/>
                <w:sz w:val="18"/>
                <w:szCs w:val="18"/>
                <w:lang w:val="en-US"/>
              </w:rPr>
            </w:pPr>
            <w:r>
              <w:rPr>
                <w:rFonts w:hint="eastAsia" w:ascii="Times New Roman" w:hAnsi="Times New Roman" w:eastAsia="宋体" w:cs="Times New Roman"/>
                <w:sz w:val="18"/>
                <w:szCs w:val="18"/>
                <w:lang w:val="en-US" w:eastAsia="zh-CN"/>
              </w:rPr>
              <w:t>2025秋-2026春</w:t>
            </w:r>
          </w:p>
        </w:tc>
      </w:tr>
    </w:tbl>
    <w:p/>
    <w:p>
      <w:pPr>
        <w:spacing w:line="220" w:lineRule="atLeast"/>
        <w:jc w:val="center"/>
      </w:pPr>
      <w:r>
        <w:rPr>
          <w:rFonts w:hint="eastAsia" w:asciiTheme="minorEastAsia" w:hAnsiTheme="minorEastAsia" w:eastAsiaTheme="minorEastAsia" w:cstheme="minorEastAsia"/>
          <w:lang w:eastAsia="zh-Hans"/>
        </w:rPr>
        <w:t>培养方案制订负责人：</w:t>
      </w:r>
      <w:r>
        <w:rPr>
          <w:rFonts w:hint="eastAsia" w:asciiTheme="minorEastAsia" w:hAnsiTheme="minorEastAsia" w:eastAsiaTheme="minorEastAsia" w:cstheme="minorEastAsia"/>
        </w:rPr>
        <w:t>肖华东</w:t>
      </w:r>
      <w:r>
        <w:rPr>
          <w:rFonts w:hint="eastAsia" w:asciiTheme="minorEastAsia" w:hAnsiTheme="minorEastAsia" w:eastAsiaTheme="minorEastAsia" w:cstheme="minorEastAsia"/>
          <w:lang w:eastAsia="zh-Hans"/>
        </w:rPr>
        <w:t xml:space="preserve">      教学院长：</w:t>
      </w:r>
      <w:r>
        <w:rPr>
          <w:rFonts w:hint="eastAsia" w:asciiTheme="minorEastAsia" w:hAnsiTheme="minorEastAsia" w:eastAsiaTheme="minorEastAsia" w:cstheme="minorEastAsia"/>
        </w:rPr>
        <w:t>汪朝阳</w:t>
      </w:r>
      <w:r>
        <w:rPr>
          <w:rFonts w:hint="eastAsia" w:asciiTheme="minorEastAsia" w:hAnsiTheme="minorEastAsia" w:eastAsiaTheme="minorEastAsia" w:cstheme="minorEastAsia"/>
          <w:lang w:eastAsia="zh-Hans"/>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Hans"/>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Hans"/>
        </w:rPr>
        <w:t xml:space="preserve">   院长：</w:t>
      </w:r>
      <w:r>
        <w:rPr>
          <w:rFonts w:hint="eastAsia" w:asciiTheme="minorEastAsia" w:hAnsiTheme="minorEastAsia" w:eastAsiaTheme="minorEastAsia" w:cstheme="minorEastAsia"/>
        </w:rPr>
        <w:t>黄其新</w:t>
      </w:r>
    </w:p>
    <w:sectPr>
      <w:footerReference r:id="rId4"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spacing w:after="160" w:line="360" w:lineRule="exact"/>
      <w:rPr>
        <w:rFonts w:ascii="Calibri" w:hAnsi="宋体" w:eastAsia="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rawingGridVerticalSpacing w:val="317"/>
  <w:displayHorizontalDrawingGridEvery w:val="2"/>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TBhZDIzOWJlOGQ5MmM2Yjk3ZjdiMzQzY2Q3MzI0MTEifQ=="/>
  </w:docVars>
  <w:rsids>
    <w:rsidRoot w:val="00D31D50"/>
    <w:rsid w:val="00006C84"/>
    <w:rsid w:val="00013EA5"/>
    <w:rsid w:val="00021ACB"/>
    <w:rsid w:val="00046D52"/>
    <w:rsid w:val="0005243F"/>
    <w:rsid w:val="00064938"/>
    <w:rsid w:val="00086486"/>
    <w:rsid w:val="00087FBC"/>
    <w:rsid w:val="00090233"/>
    <w:rsid w:val="0009411E"/>
    <w:rsid w:val="000A77A1"/>
    <w:rsid w:val="000C43FC"/>
    <w:rsid w:val="00125AE2"/>
    <w:rsid w:val="001317D0"/>
    <w:rsid w:val="00146186"/>
    <w:rsid w:val="00150F6F"/>
    <w:rsid w:val="0015546D"/>
    <w:rsid w:val="001574E1"/>
    <w:rsid w:val="001646F2"/>
    <w:rsid w:val="0016606F"/>
    <w:rsid w:val="00176F31"/>
    <w:rsid w:val="0019294E"/>
    <w:rsid w:val="001A3EE6"/>
    <w:rsid w:val="001A5E8D"/>
    <w:rsid w:val="001B6587"/>
    <w:rsid w:val="001C0AAF"/>
    <w:rsid w:val="001C7A75"/>
    <w:rsid w:val="001D7185"/>
    <w:rsid w:val="001E00FB"/>
    <w:rsid w:val="001E1CB2"/>
    <w:rsid w:val="001E7893"/>
    <w:rsid w:val="00203787"/>
    <w:rsid w:val="00224D16"/>
    <w:rsid w:val="00225BCD"/>
    <w:rsid w:val="00232F94"/>
    <w:rsid w:val="0025262F"/>
    <w:rsid w:val="00253E9D"/>
    <w:rsid w:val="0025406D"/>
    <w:rsid w:val="00254AB1"/>
    <w:rsid w:val="00254E5C"/>
    <w:rsid w:val="0029705C"/>
    <w:rsid w:val="002A70D6"/>
    <w:rsid w:val="002F4221"/>
    <w:rsid w:val="00304511"/>
    <w:rsid w:val="00311768"/>
    <w:rsid w:val="003204C3"/>
    <w:rsid w:val="00323B43"/>
    <w:rsid w:val="00337809"/>
    <w:rsid w:val="0034127C"/>
    <w:rsid w:val="00341C3D"/>
    <w:rsid w:val="003478FB"/>
    <w:rsid w:val="00351547"/>
    <w:rsid w:val="0037314F"/>
    <w:rsid w:val="00374038"/>
    <w:rsid w:val="0037466C"/>
    <w:rsid w:val="0038182E"/>
    <w:rsid w:val="0039464D"/>
    <w:rsid w:val="003A016D"/>
    <w:rsid w:val="003A4E9D"/>
    <w:rsid w:val="003B71C5"/>
    <w:rsid w:val="003C1702"/>
    <w:rsid w:val="003C1B82"/>
    <w:rsid w:val="003C78DC"/>
    <w:rsid w:val="003D37D8"/>
    <w:rsid w:val="003D470D"/>
    <w:rsid w:val="003E031B"/>
    <w:rsid w:val="003E6773"/>
    <w:rsid w:val="00403B2F"/>
    <w:rsid w:val="00407FB3"/>
    <w:rsid w:val="00426133"/>
    <w:rsid w:val="00435336"/>
    <w:rsid w:val="004358AB"/>
    <w:rsid w:val="004455FF"/>
    <w:rsid w:val="00454F8D"/>
    <w:rsid w:val="00461A3A"/>
    <w:rsid w:val="0046697E"/>
    <w:rsid w:val="00477FC1"/>
    <w:rsid w:val="0048700F"/>
    <w:rsid w:val="00496425"/>
    <w:rsid w:val="004A1A75"/>
    <w:rsid w:val="004A200D"/>
    <w:rsid w:val="004C40D4"/>
    <w:rsid w:val="004D6D54"/>
    <w:rsid w:val="004D77E5"/>
    <w:rsid w:val="004F0C43"/>
    <w:rsid w:val="004F244A"/>
    <w:rsid w:val="004F2904"/>
    <w:rsid w:val="004F7C77"/>
    <w:rsid w:val="00577A8F"/>
    <w:rsid w:val="005801A2"/>
    <w:rsid w:val="005A3F18"/>
    <w:rsid w:val="005C1559"/>
    <w:rsid w:val="006220E6"/>
    <w:rsid w:val="00643F7C"/>
    <w:rsid w:val="0064471C"/>
    <w:rsid w:val="00656FA5"/>
    <w:rsid w:val="00657BF2"/>
    <w:rsid w:val="00664E9B"/>
    <w:rsid w:val="00666C54"/>
    <w:rsid w:val="006818AC"/>
    <w:rsid w:val="006950C7"/>
    <w:rsid w:val="00696F43"/>
    <w:rsid w:val="006D008C"/>
    <w:rsid w:val="00702856"/>
    <w:rsid w:val="00735B6D"/>
    <w:rsid w:val="00764602"/>
    <w:rsid w:val="007669D9"/>
    <w:rsid w:val="0078529D"/>
    <w:rsid w:val="00792403"/>
    <w:rsid w:val="007B0163"/>
    <w:rsid w:val="007D4044"/>
    <w:rsid w:val="007E3A97"/>
    <w:rsid w:val="007F4003"/>
    <w:rsid w:val="007F5227"/>
    <w:rsid w:val="00804F8C"/>
    <w:rsid w:val="00830A93"/>
    <w:rsid w:val="00847F58"/>
    <w:rsid w:val="008545F0"/>
    <w:rsid w:val="0085698C"/>
    <w:rsid w:val="00856F11"/>
    <w:rsid w:val="008675D8"/>
    <w:rsid w:val="00870C1B"/>
    <w:rsid w:val="008821CF"/>
    <w:rsid w:val="00883191"/>
    <w:rsid w:val="008B129B"/>
    <w:rsid w:val="008B7726"/>
    <w:rsid w:val="008E487C"/>
    <w:rsid w:val="008F12E2"/>
    <w:rsid w:val="0090745A"/>
    <w:rsid w:val="00926AA7"/>
    <w:rsid w:val="00950D2E"/>
    <w:rsid w:val="009778CC"/>
    <w:rsid w:val="00991E93"/>
    <w:rsid w:val="009A019E"/>
    <w:rsid w:val="009A0B15"/>
    <w:rsid w:val="009A6C2C"/>
    <w:rsid w:val="009D2722"/>
    <w:rsid w:val="009D5DAD"/>
    <w:rsid w:val="009E12B6"/>
    <w:rsid w:val="009E3D61"/>
    <w:rsid w:val="009F7F2F"/>
    <w:rsid w:val="00A1371E"/>
    <w:rsid w:val="00A14683"/>
    <w:rsid w:val="00A227B2"/>
    <w:rsid w:val="00A253A7"/>
    <w:rsid w:val="00A31270"/>
    <w:rsid w:val="00A62DF2"/>
    <w:rsid w:val="00A70306"/>
    <w:rsid w:val="00A7330F"/>
    <w:rsid w:val="00A76389"/>
    <w:rsid w:val="00A77780"/>
    <w:rsid w:val="00A840C8"/>
    <w:rsid w:val="00AD0DF8"/>
    <w:rsid w:val="00AD54C4"/>
    <w:rsid w:val="00AE132D"/>
    <w:rsid w:val="00AE3F5E"/>
    <w:rsid w:val="00B1178F"/>
    <w:rsid w:val="00B17A03"/>
    <w:rsid w:val="00B50FD2"/>
    <w:rsid w:val="00B532C7"/>
    <w:rsid w:val="00B57CA1"/>
    <w:rsid w:val="00B60828"/>
    <w:rsid w:val="00B74F5B"/>
    <w:rsid w:val="00B856BD"/>
    <w:rsid w:val="00BA11F9"/>
    <w:rsid w:val="00BB4A98"/>
    <w:rsid w:val="00BB6F24"/>
    <w:rsid w:val="00BE6C46"/>
    <w:rsid w:val="00C03DE4"/>
    <w:rsid w:val="00C13972"/>
    <w:rsid w:val="00C33C12"/>
    <w:rsid w:val="00C52816"/>
    <w:rsid w:val="00C63BFB"/>
    <w:rsid w:val="00C77A54"/>
    <w:rsid w:val="00C81EAA"/>
    <w:rsid w:val="00C855F6"/>
    <w:rsid w:val="00C9082F"/>
    <w:rsid w:val="00C93B45"/>
    <w:rsid w:val="00CA0DDA"/>
    <w:rsid w:val="00CA341C"/>
    <w:rsid w:val="00CB2415"/>
    <w:rsid w:val="00CD09A7"/>
    <w:rsid w:val="00CD59DD"/>
    <w:rsid w:val="00CE3319"/>
    <w:rsid w:val="00CF1449"/>
    <w:rsid w:val="00D136DE"/>
    <w:rsid w:val="00D15816"/>
    <w:rsid w:val="00D31D50"/>
    <w:rsid w:val="00D40AF9"/>
    <w:rsid w:val="00D6018F"/>
    <w:rsid w:val="00D87AB4"/>
    <w:rsid w:val="00D9305A"/>
    <w:rsid w:val="00D97E4F"/>
    <w:rsid w:val="00DA144C"/>
    <w:rsid w:val="00DA719C"/>
    <w:rsid w:val="00DB4A1E"/>
    <w:rsid w:val="00DC2C3F"/>
    <w:rsid w:val="00E34D6E"/>
    <w:rsid w:val="00E3511B"/>
    <w:rsid w:val="00E476E7"/>
    <w:rsid w:val="00E7305A"/>
    <w:rsid w:val="00E753A9"/>
    <w:rsid w:val="00E851F6"/>
    <w:rsid w:val="00EA0F19"/>
    <w:rsid w:val="00EB2B35"/>
    <w:rsid w:val="00EB6FAD"/>
    <w:rsid w:val="00EF4777"/>
    <w:rsid w:val="00F15068"/>
    <w:rsid w:val="00F45810"/>
    <w:rsid w:val="00F53419"/>
    <w:rsid w:val="00F70CAF"/>
    <w:rsid w:val="00F9717C"/>
    <w:rsid w:val="00FC63A9"/>
    <w:rsid w:val="00FD7C67"/>
    <w:rsid w:val="00FF0E3A"/>
    <w:rsid w:val="05EF7DB2"/>
    <w:rsid w:val="1E1B7873"/>
    <w:rsid w:val="1EA7358C"/>
    <w:rsid w:val="38DF3EC4"/>
    <w:rsid w:val="3EFDBE4F"/>
    <w:rsid w:val="417D55CE"/>
    <w:rsid w:val="493F1885"/>
    <w:rsid w:val="49F96BC8"/>
    <w:rsid w:val="4E8A2593"/>
    <w:rsid w:val="558D5D58"/>
    <w:rsid w:val="59246D0D"/>
    <w:rsid w:val="5BFA2E84"/>
    <w:rsid w:val="5D701EE7"/>
    <w:rsid w:val="5F2E51B0"/>
    <w:rsid w:val="69223BF7"/>
    <w:rsid w:val="73132BCB"/>
    <w:rsid w:val="7779201A"/>
    <w:rsid w:val="7CD93130"/>
    <w:rsid w:val="EFFF9AE0"/>
    <w:rsid w:val="F9FCC6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unhideWhenUsed/>
    <w:qFormat/>
    <w:uiPriority w:val="99"/>
  </w:style>
  <w:style w:type="paragraph" w:styleId="3">
    <w:name w:val="Balloon Text"/>
    <w:basedOn w:val="1"/>
    <w:link w:val="14"/>
    <w:autoRedefine/>
    <w:unhideWhenUsed/>
    <w:qFormat/>
    <w:uiPriority w:val="99"/>
    <w:pPr>
      <w:spacing w:after="0"/>
    </w:pPr>
    <w:rPr>
      <w:sz w:val="18"/>
      <w:szCs w:val="18"/>
    </w:rPr>
  </w:style>
  <w:style w:type="paragraph" w:styleId="4">
    <w:name w:val="footer"/>
    <w:basedOn w:val="1"/>
    <w:link w:val="12"/>
    <w:autoRedefine/>
    <w:unhideWhenUsed/>
    <w:qFormat/>
    <w:uiPriority w:val="99"/>
    <w:pPr>
      <w:tabs>
        <w:tab w:val="center" w:pos="4153"/>
        <w:tab w:val="right" w:pos="8306"/>
      </w:tabs>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jc w:val="center"/>
    </w:pPr>
    <w:rPr>
      <w:sz w:val="18"/>
      <w:szCs w:val="18"/>
    </w:rPr>
  </w:style>
  <w:style w:type="paragraph" w:styleId="6">
    <w:name w:val="annotation subject"/>
    <w:basedOn w:val="2"/>
    <w:next w:val="2"/>
    <w:link w:val="15"/>
    <w:autoRedefine/>
    <w:unhideWhenUsed/>
    <w:qFormat/>
    <w:uiPriority w:val="99"/>
    <w:rPr>
      <w:b/>
      <w:bCs/>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99"/>
  </w:style>
  <w:style w:type="character" w:customStyle="1" w:styleId="11">
    <w:name w:val="页眉 字符"/>
    <w:basedOn w:val="9"/>
    <w:link w:val="5"/>
    <w:autoRedefine/>
    <w:semiHidden/>
    <w:qFormat/>
    <w:uiPriority w:val="99"/>
    <w:rPr>
      <w:rFonts w:ascii="Tahoma" w:hAnsi="Tahoma"/>
      <w:sz w:val="18"/>
      <w:szCs w:val="18"/>
    </w:rPr>
  </w:style>
  <w:style w:type="character" w:customStyle="1" w:styleId="12">
    <w:name w:val="页脚 字符"/>
    <w:basedOn w:val="9"/>
    <w:link w:val="4"/>
    <w:autoRedefine/>
    <w:semiHidden/>
    <w:qFormat/>
    <w:uiPriority w:val="99"/>
    <w:rPr>
      <w:rFonts w:ascii="Tahoma" w:hAnsi="Tahoma"/>
      <w:sz w:val="18"/>
      <w:szCs w:val="18"/>
    </w:rPr>
  </w:style>
  <w:style w:type="character" w:customStyle="1" w:styleId="13">
    <w:name w:val="批注文字 字符"/>
    <w:basedOn w:val="9"/>
    <w:link w:val="2"/>
    <w:autoRedefine/>
    <w:semiHidden/>
    <w:qFormat/>
    <w:uiPriority w:val="99"/>
    <w:rPr>
      <w:rFonts w:ascii="Tahoma" w:hAnsi="Tahoma"/>
    </w:rPr>
  </w:style>
  <w:style w:type="character" w:customStyle="1" w:styleId="14">
    <w:name w:val="批注框文本 字符"/>
    <w:basedOn w:val="9"/>
    <w:link w:val="3"/>
    <w:autoRedefine/>
    <w:semiHidden/>
    <w:qFormat/>
    <w:uiPriority w:val="99"/>
    <w:rPr>
      <w:rFonts w:ascii="Tahoma" w:hAnsi="Tahoma"/>
      <w:sz w:val="18"/>
      <w:szCs w:val="18"/>
    </w:rPr>
  </w:style>
  <w:style w:type="character" w:customStyle="1" w:styleId="15">
    <w:name w:val="批注主题 字符"/>
    <w:basedOn w:val="13"/>
    <w:link w:val="6"/>
    <w:autoRedefine/>
    <w:semiHidden/>
    <w:qFormat/>
    <w:uiPriority w:val="99"/>
    <w:rPr>
      <w:rFonts w:ascii="Tahoma" w:hAnsi="Tahoma"/>
      <w:b/>
      <w:bCs/>
    </w:rPr>
  </w:style>
  <w:style w:type="paragraph" w:customStyle="1" w:styleId="16">
    <w:name w:val="List Paragraph1"/>
    <w:basedOn w:val="1"/>
    <w:autoRedefine/>
    <w:qFormat/>
    <w:uiPriority w:val="0"/>
    <w:pPr>
      <w:ind w:firstLine="420" w:firstLineChars="200"/>
    </w:pPr>
    <w:rPr>
      <w:rFonts w:cs="宋体"/>
    </w:rPr>
  </w:style>
  <w:style w:type="paragraph" w:customStyle="1" w:styleId="17">
    <w:name w:val="列出段落1"/>
    <w:basedOn w:val="1"/>
    <w:autoRedefine/>
    <w:qFormat/>
    <w:uiPriority w:val="99"/>
    <w:pPr>
      <w:ind w:firstLine="420" w:firstLineChars="200"/>
    </w:pPr>
    <w:rPr>
      <w:rFonts w:cs="宋体"/>
    </w:rPr>
  </w:style>
  <w:style w:type="paragraph" w:customStyle="1" w:styleId="18">
    <w:name w:val="材料正文"/>
    <w:basedOn w:val="1"/>
    <w:autoRedefine/>
    <w:qFormat/>
    <w:uiPriority w:val="0"/>
    <w:pPr>
      <w:spacing w:line="560" w:lineRule="exact"/>
      <w:ind w:firstLine="200" w:firstLineChars="200"/>
    </w:pPr>
    <w:rPr>
      <w:rFonts w:ascii="Times New Roman" w:hAnsi="Times New Roman" w:eastAsia="仿宋_GB2312"/>
      <w:sz w:val="32"/>
      <w:szCs w:val="28"/>
    </w:rPr>
  </w:style>
  <w:style w:type="paragraph" w:customStyle="1" w:styleId="19">
    <w:name w:val="_Style 21"/>
    <w:basedOn w:val="1"/>
    <w:next w:val="1"/>
    <w:autoRedefine/>
    <w:qFormat/>
    <w:uiPriority w:val="0"/>
    <w:pPr>
      <w:pBdr>
        <w:bottom w:val="single" w:color="auto" w:sz="6" w:space="1"/>
      </w:pBdr>
      <w:jc w:val="center"/>
    </w:pPr>
    <w:rPr>
      <w:rFonts w:ascii="Arial" w:eastAsia="宋体"/>
      <w:vanish/>
      <w:sz w:val="16"/>
    </w:rPr>
  </w:style>
  <w:style w:type="paragraph" w:customStyle="1" w:styleId="20">
    <w:name w:val="_Style 22"/>
    <w:basedOn w:val="1"/>
    <w:next w:val="1"/>
    <w:autoRedefine/>
    <w:qFormat/>
    <w:uiPriority w:val="0"/>
    <w:pPr>
      <w:pBdr>
        <w:top w:val="single" w:color="auto" w:sz="6" w:space="1"/>
      </w:pBdr>
      <w:jc w:val="center"/>
    </w:pPr>
    <w:rPr>
      <w:rFonts w:ascii="Arial" w:eastAsia="宋体"/>
      <w:vanish/>
      <w:sz w:val="16"/>
    </w:rPr>
  </w:style>
  <w:style w:type="character" w:customStyle="1" w:styleId="21">
    <w:name w:val="bottom_page"/>
    <w:basedOn w:val="9"/>
    <w:autoRedefine/>
    <w:qFormat/>
    <w:uiPriority w:val="0"/>
    <w:rPr>
      <w:rFonts w:hint="eastAsia" w:ascii="宋体" w:hAnsi="宋体" w:eastAsia="宋体" w:cs="宋体"/>
      <w:sz w:val="16"/>
      <w:szCs w:val="16"/>
    </w:rPr>
  </w:style>
  <w:style w:type="character" w:customStyle="1" w:styleId="22">
    <w:name w:val="font21"/>
    <w:basedOn w:val="9"/>
    <w:autoRedefine/>
    <w:qFormat/>
    <w:uiPriority w:val="0"/>
    <w:rPr>
      <w:rFonts w:hint="eastAsia" w:ascii="宋体" w:hAnsi="宋体" w:eastAsia="宋体" w:cs="宋体"/>
      <w:color w:val="000000"/>
      <w:sz w:val="28"/>
      <w:szCs w:val="28"/>
      <w:u w:val="none"/>
    </w:rPr>
  </w:style>
  <w:style w:type="character" w:customStyle="1" w:styleId="23">
    <w:name w:val="font61"/>
    <w:basedOn w:val="9"/>
    <w:autoRedefine/>
    <w:qFormat/>
    <w:uiPriority w:val="0"/>
    <w:rPr>
      <w:rFonts w:hint="eastAsia" w:ascii="宋体" w:hAnsi="宋体" w:eastAsia="宋体" w:cs="宋体"/>
      <w:color w:val="000000"/>
      <w:sz w:val="18"/>
      <w:szCs w:val="18"/>
      <w:u w:val="none"/>
    </w:rPr>
  </w:style>
  <w:style w:type="character" w:customStyle="1" w:styleId="24">
    <w:name w:val="font91"/>
    <w:basedOn w:val="9"/>
    <w:autoRedefine/>
    <w:qFormat/>
    <w:uiPriority w:val="0"/>
    <w:rPr>
      <w:rFonts w:hint="default" w:ascii="Times New Roman" w:hAnsi="Times New Roman" w:cs="Times New Roman"/>
      <w:color w:val="000000"/>
      <w:sz w:val="18"/>
      <w:szCs w:val="18"/>
      <w:u w:val="none"/>
    </w:rPr>
  </w:style>
  <w:style w:type="character" w:customStyle="1" w:styleId="25">
    <w:name w:val="font51"/>
    <w:basedOn w:val="9"/>
    <w:autoRedefine/>
    <w:qFormat/>
    <w:uiPriority w:val="0"/>
    <w:rPr>
      <w:rFonts w:ascii="微软雅黑" w:hAnsi="微软雅黑" w:eastAsia="微软雅黑" w:cs="微软雅黑"/>
      <w:color w:val="000000"/>
      <w:sz w:val="18"/>
      <w:szCs w:val="18"/>
      <w:u w:val="none"/>
    </w:rPr>
  </w:style>
  <w:style w:type="character" w:customStyle="1" w:styleId="26">
    <w:name w:val="font31"/>
    <w:basedOn w:val="9"/>
    <w:autoRedefine/>
    <w:qFormat/>
    <w:uiPriority w:val="0"/>
    <w:rPr>
      <w:rFonts w:hint="eastAsia" w:ascii="宋体" w:hAnsi="宋体" w:eastAsia="宋体" w:cs="宋体"/>
      <w:color w:val="0000FF"/>
      <w:sz w:val="18"/>
      <w:szCs w:val="18"/>
      <w:u w:val="none"/>
    </w:rPr>
  </w:style>
  <w:style w:type="character" w:customStyle="1" w:styleId="27">
    <w:name w:val="font81"/>
    <w:basedOn w:val="9"/>
    <w:autoRedefine/>
    <w:qFormat/>
    <w:uiPriority w:val="0"/>
    <w:rPr>
      <w:rFonts w:hint="default" w:ascii="Times New Roman" w:hAnsi="Times New Roman" w:cs="Times New Roman"/>
      <w:color w:val="0000FF"/>
      <w:sz w:val="18"/>
      <w:szCs w:val="18"/>
      <w:u w:val="none"/>
    </w:rPr>
  </w:style>
  <w:style w:type="character" w:customStyle="1" w:styleId="28">
    <w:name w:val="font41"/>
    <w:basedOn w:val="9"/>
    <w:autoRedefine/>
    <w:qFormat/>
    <w:uiPriority w:val="0"/>
    <w:rPr>
      <w:rFonts w:hint="eastAsia" w:ascii="微软雅黑" w:hAnsi="微软雅黑" w:eastAsia="微软雅黑" w:cs="微软雅黑"/>
      <w:color w:val="0000FF"/>
      <w:sz w:val="18"/>
      <w:szCs w:val="18"/>
      <w:u w:val="none"/>
    </w:rPr>
  </w:style>
  <w:style w:type="character" w:customStyle="1" w:styleId="29">
    <w:name w:val="font71"/>
    <w:basedOn w:val="9"/>
    <w:autoRedefine/>
    <w:qFormat/>
    <w:uiPriority w:val="0"/>
    <w:rPr>
      <w:rFonts w:hint="default" w:ascii="Times New Roman" w:hAnsi="Times New Roman" w:cs="Times New Roman"/>
      <w:color w:val="000000"/>
      <w:sz w:val="18"/>
      <w:szCs w:val="18"/>
      <w:u w:val="none"/>
    </w:rPr>
  </w:style>
  <w:style w:type="character" w:customStyle="1" w:styleId="30">
    <w:name w:val="font11"/>
    <w:basedOn w:val="9"/>
    <w:autoRedefine/>
    <w:qFormat/>
    <w:uiPriority w:val="0"/>
    <w:rPr>
      <w:rFonts w:hint="eastAsia" w:ascii="宋体" w:hAnsi="宋体" w:eastAsia="宋体" w:cs="宋体"/>
      <w:color w:val="0000FF"/>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459</Words>
  <Characters>2618</Characters>
  <Lines>21</Lines>
  <Paragraphs>6</Paragraphs>
  <TotalTime>0</TotalTime>
  <ScaleCrop>false</ScaleCrop>
  <LinksUpToDate>false</LinksUpToDate>
  <CharactersWithSpaces>3071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2008-09-12T09:20:00Z</dcterms:created>
  <dc:creator>HP</dc:creator>
  <cp:lastModifiedBy>宋子振</cp:lastModifiedBy>
  <cp:lastPrinted>2022-10-05T00:44:00Z</cp:lastPrinted>
  <dcterms:modified xsi:type="dcterms:W3CDTF">2024-01-10T06:32:11Z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6F72494848C040619BAC27CCBF9D2C8B</vt:lpwstr>
  </property>
</Properties>
</file>