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F68" w:rsidRDefault="00AA1F68" w:rsidP="00AA1F68">
      <w:pPr>
        <w:numPr>
          <w:ilvl w:val="0"/>
          <w:numId w:val="1"/>
        </w:numPr>
        <w:rPr>
          <w:b/>
          <w:bCs/>
          <w:color w:val="4472C4" w:themeColor="accent5"/>
          <w:sz w:val="28"/>
          <w:szCs w:val="36"/>
        </w:rPr>
      </w:pP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b/>
          <w:bCs/>
          <w:color w:val="4472C4" w:themeColor="accent5"/>
          <w:sz w:val="28"/>
          <w:szCs w:val="36"/>
        </w:rPr>
      </w:pPr>
      <w:r>
        <w:rPr>
          <w:noProof/>
        </w:rPr>
        <w:drawing>
          <wp:inline distT="0" distB="0" distL="114300" distR="114300" wp14:anchorId="70FF009F" wp14:editId="01C7C7D4">
            <wp:extent cx="2304415" cy="2480945"/>
            <wp:effectExtent l="0" t="0" r="6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吴飞</w:t>
      </w:r>
      <w:r>
        <w:rPr>
          <w:rFonts w:ascii="Times New Roman" w:eastAsia="楷体" w:hAnsi="Times New Roman" w:cs="Times New Roman" w:hint="eastAsia"/>
          <w:sz w:val="24"/>
          <w:szCs w:val="32"/>
        </w:rPr>
        <w:t xml:space="preserve">  </w:t>
      </w: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浙江大学上海高等研究院常务副院长、人工智能研究所所长、浙江大学求是特聘教授，博士生导师。</w:t>
      </w:r>
      <w:r>
        <w:rPr>
          <w:rFonts w:ascii="Times New Roman" w:eastAsia="楷体" w:hAnsi="Times New Roman" w:cs="Times New Roman" w:hint="eastAsia"/>
          <w:sz w:val="24"/>
          <w:szCs w:val="32"/>
        </w:rPr>
        <w:t xml:space="preserve">   </w:t>
      </w: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主要</w:t>
      </w:r>
      <w:r>
        <w:rPr>
          <w:rFonts w:ascii="Times New Roman" w:eastAsia="楷体" w:hAnsi="Times New Roman" w:cs="Times New Roman" w:hint="eastAsia"/>
          <w:kern w:val="0"/>
          <w:sz w:val="24"/>
          <w:szCs w:val="32"/>
        </w:rPr>
        <w:t>研究</w:t>
      </w:r>
      <w:r>
        <w:rPr>
          <w:rFonts w:ascii="Times New Roman" w:eastAsia="楷体" w:hAnsi="Times New Roman" w:cs="Times New Roman" w:hint="eastAsia"/>
          <w:sz w:val="24"/>
          <w:szCs w:val="32"/>
        </w:rPr>
        <w:t>领域为人工智能、多媒体分析与检索。著有《人工智能导论：模型与算法》（高等教育出版社）教材以及开设国家级一流课程（线上课程）《人工智能：模型与算法》。</w:t>
      </w:r>
    </w:p>
    <w:p w:rsidR="00AA1F68" w:rsidRDefault="00AA1F68" w:rsidP="00AA1F68">
      <w:pPr>
        <w:pStyle w:val="a3"/>
        <w:widowControl/>
        <w:spacing w:beforeAutospacing="0" w:afterAutospacing="0" w:line="315" w:lineRule="atLeast"/>
      </w:pPr>
      <w:bookmarkStart w:id="0" w:name="_Hlk133260384"/>
      <w:bookmarkStart w:id="1" w:name="_GoBack"/>
      <w:bookmarkEnd w:id="1"/>
      <w:r>
        <w:rPr>
          <w:noProof/>
        </w:rPr>
        <w:drawing>
          <wp:inline distT="0" distB="0" distL="114300" distR="114300" wp14:anchorId="6849D16D" wp14:editId="72F43264">
            <wp:extent cx="2294255" cy="2480310"/>
            <wp:effectExtent l="0" t="0" r="1079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况琨</w:t>
      </w: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浙江大学计算机科学与技术学院副教授，博士生导师。</w:t>
      </w:r>
    </w:p>
    <w:p w:rsidR="00AA1F68" w:rsidRDefault="00AA1F68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主要研究方向包括因果推理、人工智能、因果指导的可信机器学习，关注机器学习的可解释性、稳定性、公平性和可决策性。</w:t>
      </w:r>
      <w:bookmarkEnd w:id="0"/>
    </w:p>
    <w:sectPr w:rsidR="00AA1F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EE81C"/>
    <w:multiLevelType w:val="singleLevel"/>
    <w:tmpl w:val="612EE81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F68"/>
    <w:rsid w:val="00AA1F68"/>
    <w:rsid w:val="00C4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3FF1A-7795-4E7E-A158-E1E23C312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F6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AA1F68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WUGUI</dc:creator>
  <cp:keywords/>
  <dc:description/>
  <cp:lastModifiedBy>WUGUI</cp:lastModifiedBy>
  <cp:revision>1</cp:revision>
  <dcterms:created xsi:type="dcterms:W3CDTF">2023-06-08T09:22:00Z</dcterms:created>
  <dcterms:modified xsi:type="dcterms:W3CDTF">2023-06-08T09:23:00Z</dcterms:modified>
</cp:coreProperties>
</file>