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763" w:rsidRDefault="009F4763" w:rsidP="009F4763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</w:p>
    <w:p w:rsidR="009F4763" w:rsidRDefault="009F4763" w:rsidP="009F4763">
      <w:pPr>
        <w:spacing w:line="360" w:lineRule="auto"/>
      </w:pPr>
      <w:r>
        <w:rPr>
          <w:noProof/>
        </w:rPr>
        <w:drawing>
          <wp:inline distT="0" distB="0" distL="114300" distR="114300" wp14:anchorId="16CBDFE9" wp14:editId="2659B654">
            <wp:extent cx="2291715" cy="2480310"/>
            <wp:effectExtent l="0" t="0" r="1333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63" w:rsidRDefault="009F4763" w:rsidP="009F4763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赵洲</w:t>
      </w:r>
    </w:p>
    <w:p w:rsidR="009F4763" w:rsidRDefault="009F4763" w:rsidP="009F4763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浙江大学计算机科学与技术学院教授、博士生导师。</w:t>
      </w:r>
    </w:p>
    <w:p w:rsidR="009F4763" w:rsidRDefault="009F4763" w:rsidP="009F4763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主要研究方向是多模态语义理解。相关工作发表国际会议期刊论文</w:t>
      </w:r>
      <w:r>
        <w:rPr>
          <w:rFonts w:ascii="Times New Roman" w:eastAsia="楷体" w:hAnsi="Times New Roman" w:cs="Times New Roman" w:hint="eastAsia"/>
          <w:sz w:val="24"/>
          <w:szCs w:val="32"/>
        </w:rPr>
        <w:t>60</w:t>
      </w:r>
      <w:r>
        <w:rPr>
          <w:rFonts w:ascii="Times New Roman" w:eastAsia="楷体" w:hAnsi="Times New Roman" w:cs="Times New Roman" w:hint="eastAsia"/>
          <w:sz w:val="24"/>
          <w:szCs w:val="32"/>
        </w:rPr>
        <w:t>余篇，包括</w:t>
      </w:r>
      <w:r>
        <w:rPr>
          <w:rFonts w:ascii="Times New Roman" w:eastAsia="楷体" w:hAnsi="Times New Roman" w:cs="Times New Roman" w:hint="eastAsia"/>
          <w:sz w:val="24"/>
          <w:szCs w:val="32"/>
        </w:rPr>
        <w:t>ACM</w:t>
      </w:r>
      <w:r>
        <w:rPr>
          <w:rFonts w:ascii="Times New Roman" w:eastAsia="楷体" w:hAnsi="Times New Roman" w:cs="Times New Roman" w:hint="eastAsia"/>
          <w:sz w:val="24"/>
          <w:szCs w:val="32"/>
        </w:rPr>
        <w:t>汇刊与</w:t>
      </w:r>
      <w:r>
        <w:rPr>
          <w:rFonts w:ascii="Times New Roman" w:eastAsia="楷体" w:hAnsi="Times New Roman" w:cs="Times New Roman" w:hint="eastAsia"/>
          <w:sz w:val="24"/>
          <w:szCs w:val="32"/>
        </w:rPr>
        <w:t>IEEE</w:t>
      </w:r>
      <w:r>
        <w:rPr>
          <w:rFonts w:ascii="Times New Roman" w:eastAsia="楷体" w:hAnsi="Times New Roman" w:cs="Times New Roman" w:hint="eastAsia"/>
          <w:sz w:val="24"/>
          <w:szCs w:val="32"/>
        </w:rPr>
        <w:t>汇刊及</w:t>
      </w:r>
      <w:r>
        <w:rPr>
          <w:rFonts w:ascii="Times New Roman" w:eastAsia="楷体" w:hAnsi="Times New Roman" w:cs="Times New Roman" w:hint="eastAsia"/>
          <w:sz w:val="24"/>
          <w:szCs w:val="32"/>
        </w:rPr>
        <w:t>CCF A</w:t>
      </w:r>
      <w:r>
        <w:rPr>
          <w:rFonts w:ascii="Times New Roman" w:eastAsia="楷体" w:hAnsi="Times New Roman" w:cs="Times New Roman" w:hint="eastAsia"/>
          <w:sz w:val="24"/>
          <w:szCs w:val="32"/>
        </w:rPr>
        <w:t>类会议</w:t>
      </w:r>
      <w:r>
        <w:rPr>
          <w:rFonts w:ascii="Times New Roman" w:eastAsia="楷体" w:hAnsi="Times New Roman" w:cs="Times New Roman" w:hint="eastAsia"/>
          <w:sz w:val="24"/>
          <w:szCs w:val="32"/>
        </w:rPr>
        <w:t>50</w:t>
      </w:r>
      <w:r>
        <w:rPr>
          <w:rFonts w:ascii="Times New Roman" w:eastAsia="楷体" w:hAnsi="Times New Roman" w:cs="Times New Roman" w:hint="eastAsia"/>
          <w:sz w:val="24"/>
          <w:szCs w:val="32"/>
        </w:rPr>
        <w:t>余篇。</w:t>
      </w:r>
    </w:p>
    <w:p w:rsidR="009F4763" w:rsidRDefault="009F4763" w:rsidP="009F4763">
      <w:pPr>
        <w:spacing w:line="360" w:lineRule="auto"/>
      </w:pPr>
    </w:p>
    <w:p w:rsidR="009F4763" w:rsidRDefault="009F4763" w:rsidP="009F4763">
      <w:pPr>
        <w:spacing w:line="360" w:lineRule="auto"/>
      </w:pPr>
    </w:p>
    <w:p w:rsidR="009F4763" w:rsidRDefault="009F4763" w:rsidP="009F4763">
      <w:pPr>
        <w:spacing w:line="360" w:lineRule="auto"/>
      </w:pPr>
      <w:r>
        <w:rPr>
          <w:noProof/>
        </w:rPr>
        <w:drawing>
          <wp:inline distT="0" distB="0" distL="114300" distR="114300" wp14:anchorId="5AB46F55" wp14:editId="57200045">
            <wp:extent cx="2287905" cy="2480310"/>
            <wp:effectExtent l="0" t="0" r="17145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790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63" w:rsidRDefault="009F4763" w:rsidP="009F4763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汤斯亮</w:t>
      </w:r>
    </w:p>
    <w:p w:rsidR="009F4763" w:rsidRDefault="009F4763" w:rsidP="009F4763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浙江大学计算机科学与技术学院教授，博士生导师。</w:t>
      </w:r>
    </w:p>
    <w:p w:rsidR="009F4763" w:rsidRDefault="009F4763" w:rsidP="009F4763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钱江人才计划特殊急需人才、中国人工智能学会智能创意与数字艺术专业委员会委员、浙江省计算机学会数字媒体专委会秘书长。主要研究领域为跨媒体内容理解、信息抽取、自然语言处理等人工智能方向。</w:t>
      </w:r>
    </w:p>
    <w:p w:rsidR="009F4763" w:rsidRDefault="009F4763" w:rsidP="00AA1F68">
      <w:pPr>
        <w:numPr>
          <w:ilvl w:val="0"/>
          <w:numId w:val="1"/>
        </w:numPr>
        <w:rPr>
          <w:b/>
          <w:bCs/>
          <w:color w:val="4472C4" w:themeColor="accent5"/>
          <w:sz w:val="28"/>
          <w:szCs w:val="36"/>
        </w:rPr>
      </w:pPr>
    </w:p>
    <w:p w:rsidR="009F4763" w:rsidRDefault="009F4763" w:rsidP="00AA1F68">
      <w:pPr>
        <w:spacing w:line="360" w:lineRule="auto"/>
        <w:rPr>
          <w:rFonts w:ascii="Times New Roman" w:eastAsia="楷体" w:hAnsi="Times New Roman" w:cs="Times New Roman"/>
          <w:b/>
          <w:bCs/>
          <w:color w:val="4472C4" w:themeColor="accent5"/>
          <w:sz w:val="28"/>
          <w:szCs w:val="36"/>
        </w:rPr>
      </w:pPr>
      <w:r>
        <w:rPr>
          <w:noProof/>
        </w:rPr>
        <w:drawing>
          <wp:inline distT="0" distB="0" distL="114300" distR="114300" wp14:anchorId="70FF009F" wp14:editId="01C7C7D4">
            <wp:extent cx="2304415" cy="2480945"/>
            <wp:effectExtent l="0" t="0" r="63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63" w:rsidRDefault="009F4763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吴飞</w:t>
      </w:r>
      <w:r>
        <w:rPr>
          <w:rFonts w:ascii="Times New Roman" w:eastAsia="楷体" w:hAnsi="Times New Roman" w:cs="Times New Roman" w:hint="eastAsia"/>
          <w:sz w:val="24"/>
          <w:szCs w:val="32"/>
        </w:rPr>
        <w:t xml:space="preserve">  </w:t>
      </w:r>
    </w:p>
    <w:p w:rsidR="009F4763" w:rsidRDefault="009F4763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浙江大学上海高等研究院常务副院长、人工智能研究所所长、浙江大学求是特聘教授，博士生导师。</w:t>
      </w:r>
      <w:r>
        <w:rPr>
          <w:rFonts w:ascii="Times New Roman" w:eastAsia="楷体" w:hAnsi="Times New Roman" w:cs="Times New Roman" w:hint="eastAsia"/>
          <w:sz w:val="24"/>
          <w:szCs w:val="32"/>
        </w:rPr>
        <w:t xml:space="preserve">   </w:t>
      </w:r>
    </w:p>
    <w:p w:rsidR="009F4763" w:rsidRDefault="009F4763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主要</w:t>
      </w:r>
      <w:r>
        <w:rPr>
          <w:rFonts w:ascii="Times New Roman" w:eastAsia="楷体" w:hAnsi="Times New Roman" w:cs="Times New Roman" w:hint="eastAsia"/>
          <w:kern w:val="0"/>
          <w:sz w:val="24"/>
          <w:szCs w:val="32"/>
        </w:rPr>
        <w:t>研究</w:t>
      </w:r>
      <w:r>
        <w:rPr>
          <w:rFonts w:ascii="Times New Roman" w:eastAsia="楷体" w:hAnsi="Times New Roman" w:cs="Times New Roman" w:hint="eastAsia"/>
          <w:sz w:val="24"/>
          <w:szCs w:val="32"/>
        </w:rPr>
        <w:t>领域为人工智能、多媒体分析与检索。著有《人工智能导论：模型与算法》（高等教育出版社）教材以及开设国家级一流课程（线上课程）《人工智能：模型与算法》。</w:t>
      </w:r>
    </w:p>
    <w:p w:rsidR="009F4763" w:rsidRDefault="009F4763" w:rsidP="00AA1F68">
      <w:pPr>
        <w:pStyle w:val="a3"/>
        <w:widowControl/>
        <w:spacing w:beforeAutospacing="0" w:afterAutospacing="0" w:line="315" w:lineRule="atLeast"/>
      </w:pPr>
      <w:bookmarkStart w:id="0" w:name="_Hlk133260384"/>
      <w:r>
        <w:rPr>
          <w:noProof/>
        </w:rPr>
        <w:drawing>
          <wp:inline distT="0" distB="0" distL="114300" distR="114300" wp14:anchorId="6849D16D" wp14:editId="72F43264">
            <wp:extent cx="2294255" cy="2480310"/>
            <wp:effectExtent l="0" t="0" r="1079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63" w:rsidRDefault="009F4763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况琨</w:t>
      </w:r>
    </w:p>
    <w:p w:rsidR="009F4763" w:rsidRDefault="009F4763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浙江大学计算机科学与技术学院副教授，博士生导师。</w:t>
      </w:r>
    </w:p>
    <w:p w:rsidR="009F4763" w:rsidRDefault="009F4763" w:rsidP="00AA1F68">
      <w:pPr>
        <w:spacing w:line="360" w:lineRule="auto"/>
        <w:rPr>
          <w:rFonts w:ascii="Times New Roman" w:eastAsia="楷体" w:hAnsi="Times New Roman" w:cs="Times New Roman"/>
          <w:sz w:val="24"/>
          <w:szCs w:val="32"/>
        </w:rPr>
      </w:pPr>
      <w:r>
        <w:rPr>
          <w:rFonts w:ascii="Times New Roman" w:eastAsia="楷体" w:hAnsi="Times New Roman" w:cs="Times New Roman" w:hint="eastAsia"/>
          <w:sz w:val="24"/>
          <w:szCs w:val="32"/>
        </w:rPr>
        <w:t>主要研究方向包括因果推理、人工智能、因果指导的可信机器学习，关注机器学习的可解释性、稳定性、公平性和可决策性。</w:t>
      </w:r>
      <w:bookmarkEnd w:id="0"/>
    </w:p>
    <w:p w:rsidR="009F4763" w:rsidRPr="009F4763" w:rsidRDefault="009F4763" w:rsidP="009F4763">
      <w:pPr>
        <w:spacing w:line="360" w:lineRule="auto"/>
        <w:rPr>
          <w:rFonts w:ascii="Times New Roman" w:eastAsia="楷体" w:hAnsi="Times New Roman" w:cs="Times New Roman" w:hint="eastAsia"/>
          <w:sz w:val="24"/>
          <w:szCs w:val="32"/>
        </w:rPr>
      </w:pPr>
      <w:bookmarkStart w:id="1" w:name="_GoBack"/>
      <w:bookmarkEnd w:id="1"/>
    </w:p>
    <w:sectPr w:rsidR="009F4763" w:rsidRPr="009F476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EE81C"/>
    <w:multiLevelType w:val="singleLevel"/>
    <w:tmpl w:val="612EE81C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63"/>
    <w:rsid w:val="009F4763"/>
    <w:rsid w:val="00C4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EBCEA"/>
  <w15:chartTrackingRefBased/>
  <w15:docId w15:val="{52BFA106-0F67-4B5E-B4F3-6D0FDA300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763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9F4763"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WUGUI</dc:creator>
  <cp:keywords/>
  <dc:description/>
  <cp:lastModifiedBy>WUGUI</cp:lastModifiedBy>
  <cp:revision>1</cp:revision>
  <dcterms:created xsi:type="dcterms:W3CDTF">2023-06-08T09:25:00Z</dcterms:created>
  <dcterms:modified xsi:type="dcterms:W3CDTF">2023-06-08T09:28:00Z</dcterms:modified>
</cp:coreProperties>
</file>